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D4" w:rsidRDefault="00BB44D4" w:rsidP="00BB44D4">
      <w:pPr>
        <w:ind w:left="4320" w:firstLine="720"/>
        <w:jc w:val="both"/>
        <w:rPr>
          <w:rFonts w:eastAsia="Gulim"/>
          <w:b/>
          <w:kern w:val="16"/>
        </w:rPr>
      </w:pPr>
      <w:r>
        <w:rPr>
          <w:rFonts w:eastAsia="Gulim"/>
          <w:b/>
          <w:kern w:val="16"/>
        </w:rPr>
        <w:t>APSTIPRINĀTS</w:t>
      </w:r>
    </w:p>
    <w:p w:rsidR="00BB44D4" w:rsidRDefault="00BB44D4" w:rsidP="00BB44D4">
      <w:pPr>
        <w:jc w:val="both"/>
        <w:rPr>
          <w:rFonts w:eastAsia="Gulim"/>
          <w:kern w:val="16"/>
        </w:rPr>
      </w:pP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r>
        <w:rPr>
          <w:rFonts w:eastAsia="Gulim"/>
          <w:kern w:val="16"/>
        </w:rPr>
        <w:t>Iepirkuma komisijas</w:t>
      </w:r>
    </w:p>
    <w:p w:rsidR="00BB44D4" w:rsidRDefault="00BB44D4" w:rsidP="00BB44D4">
      <w:pPr>
        <w:ind w:left="5040"/>
        <w:jc w:val="both"/>
        <w:rPr>
          <w:rFonts w:eastAsia="Gulim"/>
          <w:kern w:val="16"/>
        </w:rPr>
      </w:pPr>
      <w:proofErr w:type="gramStart"/>
      <w:r>
        <w:rPr>
          <w:rFonts w:eastAsia="Gulim"/>
          <w:kern w:val="16"/>
        </w:rPr>
        <w:t>2016.gada</w:t>
      </w:r>
      <w:proofErr w:type="gramEnd"/>
      <w:r>
        <w:rPr>
          <w:rFonts w:eastAsia="Gulim"/>
          <w:kern w:val="16"/>
        </w:rPr>
        <w:t xml:space="preserve"> </w:t>
      </w:r>
      <w:r w:rsidR="00FB50FA">
        <w:rPr>
          <w:rFonts w:eastAsia="Gulim"/>
          <w:kern w:val="16"/>
        </w:rPr>
        <w:t>31</w:t>
      </w:r>
      <w:r>
        <w:rPr>
          <w:rFonts w:eastAsia="Gulim"/>
          <w:kern w:val="16"/>
        </w:rPr>
        <w:t>.</w:t>
      </w:r>
      <w:r w:rsidR="00D42302">
        <w:rPr>
          <w:rFonts w:eastAsia="Gulim"/>
          <w:kern w:val="16"/>
        </w:rPr>
        <w:t>oktobra</w:t>
      </w:r>
      <w:r>
        <w:rPr>
          <w:rFonts w:eastAsia="Gulim"/>
          <w:kern w:val="16"/>
        </w:rPr>
        <w:t xml:space="preserve"> sēdē, </w:t>
      </w:r>
    </w:p>
    <w:p w:rsidR="00BB44D4" w:rsidRDefault="00BB44D4" w:rsidP="00BB44D4">
      <w:pPr>
        <w:ind w:left="4320" w:firstLine="720"/>
        <w:jc w:val="both"/>
        <w:rPr>
          <w:rFonts w:eastAsia="Gulim"/>
          <w:kern w:val="16"/>
        </w:rPr>
      </w:pPr>
      <w:r>
        <w:rPr>
          <w:rFonts w:eastAsia="Gulim"/>
          <w:kern w:val="16"/>
        </w:rPr>
        <w:t>protokols Nr.1</w:t>
      </w:r>
    </w:p>
    <w:p w:rsidR="00BB44D4" w:rsidRDefault="00BB44D4" w:rsidP="00BB44D4">
      <w:pPr>
        <w:jc w:val="center"/>
        <w:rPr>
          <w:rFonts w:eastAsia="Gulim"/>
          <w:b/>
          <w:kern w:val="16"/>
        </w:rPr>
      </w:pPr>
    </w:p>
    <w:p w:rsidR="00BB44D4" w:rsidRDefault="00BB44D4" w:rsidP="00BB44D4">
      <w:pPr>
        <w:jc w:val="both"/>
        <w:rPr>
          <w:rFonts w:eastAsia="Gulim"/>
          <w:kern w:val="16"/>
        </w:rPr>
      </w:pP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r>
        <w:rPr>
          <w:rFonts w:eastAsia="Gulim"/>
          <w:b/>
          <w:kern w:val="16"/>
        </w:rPr>
        <w:tab/>
      </w:r>
    </w:p>
    <w:p w:rsidR="00BB44D4" w:rsidRDefault="00BB44D4" w:rsidP="00BB44D4">
      <w:pPr>
        <w:jc w:val="center"/>
        <w:rPr>
          <w:rFonts w:eastAsia="Gulim"/>
          <w:b/>
          <w:kern w:val="16"/>
        </w:rPr>
      </w:pPr>
    </w:p>
    <w:p w:rsidR="00BB44D4" w:rsidRDefault="00BB44D4" w:rsidP="00BB44D4">
      <w:pPr>
        <w:jc w:val="center"/>
        <w:rPr>
          <w:rFonts w:eastAsia="Gulim"/>
          <w:b/>
          <w:kern w:val="16"/>
        </w:rPr>
      </w:pPr>
    </w:p>
    <w:p w:rsidR="00BB44D4" w:rsidRDefault="00BB44D4" w:rsidP="00BB44D4">
      <w:pPr>
        <w:jc w:val="center"/>
        <w:rPr>
          <w:rFonts w:eastAsia="Gulim"/>
          <w:b/>
          <w:kern w:val="16"/>
        </w:rPr>
      </w:pPr>
      <w:r>
        <w:rPr>
          <w:rFonts w:eastAsia="Gulim"/>
          <w:b/>
          <w:kern w:val="16"/>
        </w:rPr>
        <w:t>IEPIRKUMA</w:t>
      </w:r>
    </w:p>
    <w:p w:rsidR="00C35094" w:rsidRDefault="00C35094" w:rsidP="001D3FAD">
      <w:pPr>
        <w:jc w:val="center"/>
        <w:rPr>
          <w:rFonts w:eastAsia="Gulim"/>
          <w:kern w:val="16"/>
        </w:rPr>
      </w:pPr>
    </w:p>
    <w:p w:rsidR="001D3FAD" w:rsidRPr="00140D88" w:rsidRDefault="001D3FAD" w:rsidP="00F6012C">
      <w:pPr>
        <w:jc w:val="center"/>
        <w:rPr>
          <w:rFonts w:eastAsia="Gulim"/>
          <w:kern w:val="16"/>
        </w:rPr>
      </w:pPr>
      <w:r w:rsidRPr="00140D88">
        <w:rPr>
          <w:rFonts w:eastAsia="Gulim"/>
          <w:kern w:val="16"/>
        </w:rPr>
        <w:t>Publisko iepirkumu likuma 8.</w:t>
      </w:r>
      <w:r>
        <w:rPr>
          <w:rFonts w:eastAsia="Gulim"/>
          <w:kern w:val="16"/>
          <w:vertAlign w:val="superscript"/>
        </w:rPr>
        <w:t xml:space="preserve">2 </w:t>
      </w:r>
      <w:r w:rsidRPr="00140D88">
        <w:rPr>
          <w:rFonts w:eastAsia="Gulim"/>
          <w:kern w:val="16"/>
        </w:rPr>
        <w:t>panta kārtībā</w:t>
      </w:r>
    </w:p>
    <w:p w:rsidR="001D3FAD" w:rsidRDefault="001D3FAD" w:rsidP="00BB44D4">
      <w:pPr>
        <w:jc w:val="center"/>
        <w:rPr>
          <w:rFonts w:eastAsia="Gulim"/>
          <w:b/>
          <w:kern w:val="16"/>
        </w:rPr>
      </w:pPr>
    </w:p>
    <w:p w:rsidR="00BB44D4" w:rsidRDefault="00BB44D4" w:rsidP="00BB44D4">
      <w:pPr>
        <w:jc w:val="center"/>
        <w:rPr>
          <w:rFonts w:eastAsia="Gulim"/>
          <w:b/>
          <w:kern w:val="16"/>
        </w:rPr>
      </w:pPr>
    </w:p>
    <w:p w:rsidR="00BB44D4" w:rsidRDefault="00BB44D4" w:rsidP="00BB44D4">
      <w:pPr>
        <w:rPr>
          <w:b/>
          <w:caps/>
          <w:kern w:val="16"/>
        </w:rPr>
      </w:pPr>
    </w:p>
    <w:p w:rsidR="00BB44D4" w:rsidRDefault="00BB44D4" w:rsidP="00BB44D4">
      <w:pPr>
        <w:jc w:val="center"/>
        <w:rPr>
          <w:b/>
          <w:caps/>
          <w:kern w:val="16"/>
        </w:rPr>
      </w:pPr>
    </w:p>
    <w:p w:rsidR="00BB44D4" w:rsidRDefault="00BB44D4" w:rsidP="00BB44D4">
      <w:pPr>
        <w:jc w:val="center"/>
        <w:rPr>
          <w:b/>
          <w:caps/>
          <w:kern w:val="16"/>
        </w:rPr>
      </w:pPr>
      <w:r>
        <w:rPr>
          <w:b/>
          <w:caps/>
          <w:kern w:val="16"/>
        </w:rPr>
        <w:t xml:space="preserve">„latvijas Etnogrāfiskā brīvdabas muzeja </w:t>
      </w:r>
    </w:p>
    <w:p w:rsidR="00BB44D4" w:rsidRDefault="008D4AB5" w:rsidP="00BB44D4">
      <w:pPr>
        <w:jc w:val="center"/>
        <w:rPr>
          <w:b/>
          <w:caps/>
          <w:kern w:val="16"/>
        </w:rPr>
      </w:pPr>
      <w:r>
        <w:rPr>
          <w:b/>
          <w:caps/>
          <w:kern w:val="16"/>
        </w:rPr>
        <w:t xml:space="preserve">ugunsdrošības </w:t>
      </w:r>
      <w:r w:rsidR="00F6012C">
        <w:rPr>
          <w:b/>
          <w:caps/>
          <w:kern w:val="16"/>
        </w:rPr>
        <w:t>inventāra piegāde</w:t>
      </w:r>
      <w:r w:rsidR="00BB44D4">
        <w:rPr>
          <w:b/>
          <w:caps/>
          <w:kern w:val="16"/>
        </w:rPr>
        <w:t>”</w:t>
      </w:r>
    </w:p>
    <w:p w:rsidR="00BB44D4" w:rsidRDefault="00BB44D4" w:rsidP="00BB44D4">
      <w:pPr>
        <w:jc w:val="center"/>
        <w:rPr>
          <w:b/>
          <w:caps/>
          <w:kern w:val="16"/>
        </w:rPr>
      </w:pPr>
    </w:p>
    <w:p w:rsidR="00BB44D4" w:rsidRDefault="00BB44D4" w:rsidP="00BB44D4">
      <w:pPr>
        <w:jc w:val="center"/>
        <w:rPr>
          <w:b/>
          <w:caps/>
          <w:kern w:val="16"/>
        </w:rPr>
      </w:pPr>
    </w:p>
    <w:p w:rsidR="00BB44D4" w:rsidRDefault="00BB44D4" w:rsidP="00BB44D4">
      <w:pPr>
        <w:jc w:val="center"/>
        <w:rPr>
          <w:b/>
          <w:kern w:val="16"/>
        </w:rPr>
      </w:pPr>
    </w:p>
    <w:p w:rsidR="00BB44D4" w:rsidRDefault="00BB44D4" w:rsidP="00BB44D4">
      <w:pPr>
        <w:jc w:val="center"/>
        <w:rPr>
          <w:b/>
          <w:bCs/>
          <w:kern w:val="16"/>
        </w:rPr>
      </w:pPr>
    </w:p>
    <w:p w:rsidR="00BB44D4" w:rsidRDefault="00BB44D4" w:rsidP="00BB44D4">
      <w:pPr>
        <w:spacing w:after="120"/>
        <w:jc w:val="center"/>
        <w:rPr>
          <w:b/>
          <w:kern w:val="16"/>
        </w:rPr>
      </w:pPr>
      <w:r>
        <w:rPr>
          <w:b/>
          <w:kern w:val="16"/>
        </w:rPr>
        <w:t>NOTEIKUMI</w:t>
      </w: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r>
        <w:rPr>
          <w:kern w:val="16"/>
        </w:rPr>
        <w:t xml:space="preserve">Iepirkuma identifikācijas Nr. </w:t>
      </w:r>
      <w:r w:rsidRPr="005E3B5E">
        <w:rPr>
          <w:kern w:val="16"/>
        </w:rPr>
        <w:t>LEBM 2016/</w:t>
      </w:r>
      <w:r w:rsidR="008D4AB5">
        <w:rPr>
          <w:kern w:val="16"/>
        </w:rPr>
        <w:t>1</w:t>
      </w:r>
      <w:r w:rsidR="00F6012C">
        <w:rPr>
          <w:kern w:val="16"/>
        </w:rPr>
        <w:t>1</w:t>
      </w: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p>
    <w:p w:rsidR="00BB44D4" w:rsidRDefault="00BB44D4" w:rsidP="00BB44D4">
      <w:pPr>
        <w:spacing w:after="120"/>
        <w:jc w:val="center"/>
        <w:rPr>
          <w:kern w:val="16"/>
        </w:rPr>
      </w:pPr>
      <w:r>
        <w:rPr>
          <w:kern w:val="16"/>
        </w:rPr>
        <w:t>RĪGA, 2016</w:t>
      </w:r>
    </w:p>
    <w:p w:rsidR="00BB44D4" w:rsidRDefault="00BB44D4" w:rsidP="00BB44D4">
      <w:pPr>
        <w:pStyle w:val="Kjene"/>
        <w:tabs>
          <w:tab w:val="left" w:pos="720"/>
        </w:tabs>
        <w:spacing w:before="240" w:after="240"/>
        <w:jc w:val="center"/>
        <w:rPr>
          <w:b/>
          <w:bCs/>
          <w:kern w:val="16"/>
          <w:lang w:val="lv-LV"/>
        </w:rPr>
      </w:pPr>
      <w:r>
        <w:rPr>
          <w:kern w:val="16"/>
        </w:rPr>
        <w:br w:type="page"/>
      </w:r>
      <w:bookmarkStart w:id="0" w:name="_Toc61422120"/>
      <w:bookmarkStart w:id="1" w:name="_Toc59334717"/>
      <w:bookmarkStart w:id="2" w:name="_Ref38341330"/>
      <w:r>
        <w:rPr>
          <w:b/>
          <w:bCs/>
          <w:kern w:val="16"/>
          <w:lang w:val="lv-LV"/>
        </w:rPr>
        <w:lastRenderedPageBreak/>
        <w:t>I Vispārīgā informācija</w:t>
      </w:r>
      <w:bookmarkEnd w:id="0"/>
      <w:bookmarkEnd w:id="1"/>
      <w:bookmarkEnd w:id="2"/>
    </w:p>
    <w:p w:rsidR="00BB44D4" w:rsidRDefault="00BB44D4" w:rsidP="00BB44D4">
      <w:pPr>
        <w:numPr>
          <w:ilvl w:val="0"/>
          <w:numId w:val="1"/>
        </w:numPr>
        <w:spacing w:before="120" w:after="120"/>
        <w:ind w:left="357" w:hanging="357"/>
        <w:jc w:val="both"/>
        <w:rPr>
          <w:kern w:val="16"/>
        </w:rPr>
      </w:pPr>
      <w:bookmarkStart w:id="3" w:name="_Toc61422121"/>
      <w:bookmarkStart w:id="4" w:name="_Toc59334718"/>
      <w:r>
        <w:rPr>
          <w:b/>
          <w:kern w:val="16"/>
        </w:rPr>
        <w:t>Pasūtītājs</w:t>
      </w:r>
    </w:p>
    <w:p w:rsidR="00BB44D4" w:rsidRDefault="00BB44D4" w:rsidP="00BB44D4">
      <w:pPr>
        <w:ind w:left="360"/>
        <w:jc w:val="both"/>
      </w:pPr>
      <w:r>
        <w:t>Latvijas Etnogrāfiskais brīvdabas muzejs (turpmāk – Pasūtītājs), reģ. Nr.</w:t>
      </w:r>
      <w:r w:rsidR="003345AB">
        <w:t xml:space="preserve"> </w:t>
      </w:r>
      <w:r>
        <w:t xml:space="preserve">90000053011, adrese: </w:t>
      </w:r>
      <w:proofErr w:type="spellStart"/>
      <w:r w:rsidR="008D4AB5">
        <w:t>Bonaventuras</w:t>
      </w:r>
      <w:proofErr w:type="spellEnd"/>
      <w:r w:rsidR="008D4AB5">
        <w:t xml:space="preserve"> iela 10</w:t>
      </w:r>
      <w:r>
        <w:t xml:space="preserve">, Rīga, LV-1024, </w:t>
      </w:r>
    </w:p>
    <w:p w:rsidR="00BB44D4" w:rsidRDefault="00BB44D4" w:rsidP="00BB44D4">
      <w:pPr>
        <w:ind w:left="360"/>
        <w:jc w:val="both"/>
      </w:pPr>
      <w:r>
        <w:t xml:space="preserve">tālr. + 371 67994510, </w:t>
      </w:r>
    </w:p>
    <w:p w:rsidR="00BB44D4" w:rsidRDefault="00BB44D4" w:rsidP="00BB44D4">
      <w:pPr>
        <w:ind w:left="360"/>
        <w:jc w:val="both"/>
      </w:pPr>
      <w:r>
        <w:t xml:space="preserve">e-pasts: </w:t>
      </w:r>
      <w:hyperlink r:id="rId8" w:history="1">
        <w:r>
          <w:rPr>
            <w:rStyle w:val="Hipersaite"/>
          </w:rPr>
          <w:t>info@brivdabasmuzejs.lv</w:t>
        </w:r>
      </w:hyperlink>
      <w:r>
        <w:t xml:space="preserve">; </w:t>
      </w:r>
      <w:hyperlink r:id="rId9" w:history="1">
        <w:r>
          <w:rPr>
            <w:rStyle w:val="Hipersaite"/>
          </w:rPr>
          <w:t>www.brivdabasmuzejs.lv</w:t>
        </w:r>
      </w:hyperlink>
    </w:p>
    <w:p w:rsidR="00BB44D4" w:rsidRDefault="00BB44D4" w:rsidP="00BB44D4">
      <w:pPr>
        <w:ind w:left="360"/>
        <w:jc w:val="both"/>
      </w:pPr>
      <w:r>
        <w:rPr>
          <w:kern w:val="16"/>
        </w:rPr>
        <w:t>kontaktpersona, kurai elektroniski iesniegt jautājumus par iepirkumu:</w:t>
      </w:r>
    </w:p>
    <w:p w:rsidR="003345AB" w:rsidRDefault="008D4AB5" w:rsidP="00BB44D4">
      <w:pPr>
        <w:ind w:left="360"/>
        <w:jc w:val="both"/>
      </w:pPr>
      <w:r>
        <w:t>Ģirts Vīgants</w:t>
      </w:r>
      <w:r w:rsidR="00BB44D4">
        <w:t xml:space="preserve">, direktora vietnieks </w:t>
      </w:r>
      <w:r>
        <w:t>saimnieciskajos darbos</w:t>
      </w:r>
      <w:r w:rsidR="003345AB">
        <w:t>,</w:t>
      </w:r>
    </w:p>
    <w:p w:rsidR="00BB44D4" w:rsidRDefault="00BB44D4" w:rsidP="00BB44D4">
      <w:pPr>
        <w:ind w:left="360"/>
        <w:jc w:val="both"/>
      </w:pPr>
      <w:r>
        <w:t>e-pasts: info@brivdabasmuzejs.lv</w:t>
      </w:r>
    </w:p>
    <w:p w:rsidR="00BB44D4" w:rsidRDefault="00BB44D4" w:rsidP="00BB44D4">
      <w:pPr>
        <w:numPr>
          <w:ilvl w:val="0"/>
          <w:numId w:val="1"/>
        </w:numPr>
        <w:spacing w:before="120" w:after="120"/>
        <w:ind w:left="357" w:hanging="357"/>
        <w:jc w:val="both"/>
        <w:rPr>
          <w:b/>
          <w:kern w:val="16"/>
        </w:rPr>
      </w:pPr>
      <w:r>
        <w:rPr>
          <w:b/>
          <w:kern w:val="16"/>
        </w:rPr>
        <w:t xml:space="preserve">Iepirkuma nosaukums, identifikācijas numurs, un iepirkuma procedūras veids: </w:t>
      </w:r>
    </w:p>
    <w:p w:rsidR="00BB44D4" w:rsidRDefault="00BB44D4" w:rsidP="00BB44D4">
      <w:pPr>
        <w:ind w:left="360"/>
        <w:jc w:val="both"/>
      </w:pPr>
      <w:r>
        <w:t xml:space="preserve">Latvijas Etnogrāfiskā brīvdabas muzeja </w:t>
      </w:r>
      <w:r w:rsidR="008D4AB5">
        <w:t xml:space="preserve">ugunsdrošības </w:t>
      </w:r>
      <w:r w:rsidR="00820D57">
        <w:t>inventāra piegāde</w:t>
      </w:r>
    </w:p>
    <w:p w:rsidR="00BB44D4" w:rsidRDefault="00BB44D4" w:rsidP="00BB44D4">
      <w:pPr>
        <w:ind w:left="360"/>
        <w:jc w:val="both"/>
        <w:rPr>
          <w:bCs/>
          <w:kern w:val="16"/>
        </w:rPr>
      </w:pPr>
      <w:r>
        <w:t xml:space="preserve">Iepirkuma identifikācijas Nr. </w:t>
      </w:r>
      <w:r w:rsidRPr="005E3B5E">
        <w:rPr>
          <w:kern w:val="16"/>
        </w:rPr>
        <w:t xml:space="preserve">LEBM </w:t>
      </w:r>
      <w:r w:rsidRPr="005E3B5E">
        <w:rPr>
          <w:bCs/>
          <w:kern w:val="16"/>
        </w:rPr>
        <w:t>2016/</w:t>
      </w:r>
      <w:r w:rsidR="008D4AB5">
        <w:rPr>
          <w:bCs/>
          <w:kern w:val="16"/>
        </w:rPr>
        <w:t>1</w:t>
      </w:r>
      <w:r w:rsidR="00820D57">
        <w:rPr>
          <w:bCs/>
          <w:kern w:val="16"/>
        </w:rPr>
        <w:t>1</w:t>
      </w:r>
    </w:p>
    <w:p w:rsidR="00BB44D4" w:rsidRPr="00BA17B9" w:rsidRDefault="005B1292" w:rsidP="00BB44D4">
      <w:pPr>
        <w:ind w:left="360"/>
        <w:jc w:val="both"/>
      </w:pPr>
      <w:r>
        <w:rPr>
          <w:kern w:val="16"/>
        </w:rPr>
        <w:t>Iepirkums tiek veikts Publisko iepirkumu likuma 8.</w:t>
      </w:r>
      <w:r>
        <w:rPr>
          <w:kern w:val="16"/>
          <w:vertAlign w:val="superscript"/>
        </w:rPr>
        <w:t xml:space="preserve">2 </w:t>
      </w:r>
      <w:r>
        <w:rPr>
          <w:kern w:val="16"/>
        </w:rPr>
        <w:t>panta noteiktajā kārtībā</w:t>
      </w:r>
      <w:r w:rsidRPr="00BA17B9">
        <w:t xml:space="preserve"> </w:t>
      </w:r>
      <w:r w:rsidR="00BB44D4" w:rsidRPr="00BA17B9">
        <w:t xml:space="preserve">Iepirkuma nomenklatūras kods: CPV kods: </w:t>
      </w:r>
      <w:r w:rsidR="00820D57">
        <w:rPr>
          <w:rStyle w:val="Izteiksmgs"/>
          <w:b w:val="0"/>
        </w:rPr>
        <w:t>35111000-5</w:t>
      </w:r>
      <w:r w:rsidR="00BB44D4" w:rsidRPr="00BA17B9">
        <w:t xml:space="preserve"> „</w:t>
      </w:r>
      <w:r w:rsidR="00820D57">
        <w:rPr>
          <w:shd w:val="clear" w:color="auto" w:fill="FFFFFF"/>
        </w:rPr>
        <w:t>Ugunsdzēsības aprīkojums</w:t>
      </w:r>
      <w:r w:rsidR="00C35094">
        <w:t>”</w:t>
      </w:r>
    </w:p>
    <w:p w:rsidR="00BB44D4" w:rsidRDefault="00BB44D4" w:rsidP="00BB44D4">
      <w:pPr>
        <w:numPr>
          <w:ilvl w:val="0"/>
          <w:numId w:val="1"/>
        </w:numPr>
        <w:spacing w:before="120" w:after="120"/>
        <w:ind w:left="357" w:hanging="357"/>
        <w:jc w:val="both"/>
        <w:rPr>
          <w:b/>
          <w:kern w:val="16"/>
        </w:rPr>
      </w:pPr>
      <w:r>
        <w:rPr>
          <w:b/>
          <w:kern w:val="16"/>
        </w:rPr>
        <w:t xml:space="preserve">Iepirkuma priekšmets </w:t>
      </w:r>
    </w:p>
    <w:p w:rsidR="00BB44D4" w:rsidRDefault="00BB44D4" w:rsidP="00BB44D4">
      <w:pPr>
        <w:spacing w:before="60" w:after="60"/>
        <w:ind w:left="357"/>
        <w:jc w:val="both"/>
      </w:pPr>
      <w:r>
        <w:t xml:space="preserve">Latvijas Etnogrāfiskā brīvdabas muzeja </w:t>
      </w:r>
      <w:r w:rsidR="00C35094">
        <w:t xml:space="preserve">ugunsdrošības </w:t>
      </w:r>
      <w:r w:rsidR="00E677F8">
        <w:t>inventāra</w:t>
      </w:r>
      <w:r w:rsidR="00342E9E">
        <w:t xml:space="preserve"> piegāde </w:t>
      </w:r>
      <w:r>
        <w:t>saskaņā ar tehnisko specifikāciju (noteikumu 1.pielikums)</w:t>
      </w:r>
      <w:r w:rsidR="008302E4">
        <w:t>.</w:t>
      </w:r>
    </w:p>
    <w:p w:rsidR="00BB44D4" w:rsidRDefault="00BB44D4" w:rsidP="00BB44D4">
      <w:pPr>
        <w:numPr>
          <w:ilvl w:val="0"/>
          <w:numId w:val="1"/>
        </w:numPr>
        <w:spacing w:before="120" w:after="120"/>
        <w:ind w:hanging="357"/>
        <w:jc w:val="both"/>
        <w:rPr>
          <w:kern w:val="16"/>
        </w:rPr>
      </w:pPr>
      <w:r>
        <w:rPr>
          <w:b/>
          <w:kern w:val="16"/>
        </w:rPr>
        <w:t xml:space="preserve">Paredzamā līgumcena </w:t>
      </w:r>
    </w:p>
    <w:p w:rsidR="00BB44D4" w:rsidRDefault="00EF75B4" w:rsidP="00BB44D4">
      <w:pPr>
        <w:spacing w:before="120" w:after="120"/>
        <w:ind w:left="360"/>
        <w:jc w:val="both"/>
        <w:rPr>
          <w:kern w:val="16"/>
        </w:rPr>
      </w:pPr>
      <w:r>
        <w:rPr>
          <w:kern w:val="16"/>
        </w:rPr>
        <w:t>1</w:t>
      </w:r>
      <w:r w:rsidR="00E677F8">
        <w:rPr>
          <w:kern w:val="16"/>
        </w:rPr>
        <w:t>2</w:t>
      </w:r>
      <w:r w:rsidR="009B3B85">
        <w:rPr>
          <w:kern w:val="16"/>
        </w:rPr>
        <w:t xml:space="preserve"> 000</w:t>
      </w:r>
      <w:r w:rsidR="00BB44D4">
        <w:rPr>
          <w:kern w:val="16"/>
        </w:rPr>
        <w:t>,00 EUR (bez PVN)</w:t>
      </w:r>
    </w:p>
    <w:p w:rsidR="00BB44D4" w:rsidRDefault="00BB44D4" w:rsidP="00BB44D4">
      <w:pPr>
        <w:numPr>
          <w:ilvl w:val="0"/>
          <w:numId w:val="1"/>
        </w:numPr>
        <w:spacing w:before="120" w:after="120"/>
        <w:ind w:hanging="357"/>
        <w:jc w:val="both"/>
        <w:rPr>
          <w:kern w:val="16"/>
        </w:rPr>
      </w:pPr>
      <w:r>
        <w:rPr>
          <w:b/>
          <w:kern w:val="16"/>
        </w:rPr>
        <w:t xml:space="preserve">Iepirkuma līguma termiņš </w:t>
      </w:r>
    </w:p>
    <w:p w:rsidR="00BB44D4" w:rsidRPr="00BB44D4" w:rsidRDefault="00EF75B4" w:rsidP="00BB44D4">
      <w:pPr>
        <w:spacing w:before="120" w:after="120"/>
        <w:ind w:left="360"/>
        <w:jc w:val="both"/>
        <w:rPr>
          <w:kern w:val="16"/>
        </w:rPr>
      </w:pPr>
      <w:r>
        <w:t>līdz</w:t>
      </w:r>
      <w:r w:rsidR="00BB44D4">
        <w:t xml:space="preserve"> </w:t>
      </w:r>
      <w:proofErr w:type="gramStart"/>
      <w:r w:rsidR="00BB44D4">
        <w:t>2016.gada</w:t>
      </w:r>
      <w:proofErr w:type="gramEnd"/>
      <w:r w:rsidR="00BB44D4">
        <w:t xml:space="preserve"> </w:t>
      </w:r>
      <w:r>
        <w:t>1</w:t>
      </w:r>
      <w:r w:rsidR="00E677F8">
        <w:t>2</w:t>
      </w:r>
      <w:r w:rsidR="00BB44D4">
        <w:t>.</w:t>
      </w:r>
      <w:r>
        <w:t>decembrim</w:t>
      </w:r>
    </w:p>
    <w:p w:rsidR="00BB44D4" w:rsidRDefault="00BB44D4" w:rsidP="00BB44D4">
      <w:pPr>
        <w:spacing w:before="240" w:after="240"/>
        <w:ind w:left="357"/>
        <w:jc w:val="center"/>
        <w:rPr>
          <w:b/>
          <w:kern w:val="16"/>
        </w:rPr>
      </w:pPr>
      <w:r>
        <w:rPr>
          <w:b/>
          <w:kern w:val="16"/>
        </w:rPr>
        <w:t>II Pretendenta piedāvājuma iesniegšanas kārtība</w:t>
      </w:r>
    </w:p>
    <w:p w:rsidR="00BB44D4" w:rsidRDefault="00BB44D4" w:rsidP="00BB44D4">
      <w:pPr>
        <w:numPr>
          <w:ilvl w:val="0"/>
          <w:numId w:val="1"/>
        </w:numPr>
        <w:tabs>
          <w:tab w:val="left" w:pos="993"/>
        </w:tabs>
        <w:spacing w:before="120" w:after="120"/>
        <w:ind w:left="357" w:hanging="357"/>
        <w:jc w:val="both"/>
        <w:rPr>
          <w:kern w:val="16"/>
        </w:rPr>
      </w:pPr>
      <w:r>
        <w:rPr>
          <w:kern w:val="16"/>
        </w:rPr>
        <w:t xml:space="preserve">Piedāvājums jāiesniedz līdz </w:t>
      </w:r>
      <w:proofErr w:type="gramStart"/>
      <w:r>
        <w:rPr>
          <w:kern w:val="16"/>
        </w:rPr>
        <w:t>2016.gada</w:t>
      </w:r>
      <w:proofErr w:type="gramEnd"/>
      <w:r>
        <w:rPr>
          <w:kern w:val="16"/>
        </w:rPr>
        <w:t xml:space="preserve"> </w:t>
      </w:r>
      <w:r w:rsidR="00FB50FA">
        <w:rPr>
          <w:kern w:val="16"/>
        </w:rPr>
        <w:t>11</w:t>
      </w:r>
      <w:r w:rsidRPr="00305EB9">
        <w:rPr>
          <w:kern w:val="16"/>
        </w:rPr>
        <w:t>.</w:t>
      </w:r>
      <w:r w:rsidR="00801FA3">
        <w:rPr>
          <w:kern w:val="16"/>
        </w:rPr>
        <w:t>novembrim</w:t>
      </w:r>
      <w:r>
        <w:rPr>
          <w:kern w:val="16"/>
        </w:rPr>
        <w:t>, plkst. 1</w:t>
      </w:r>
      <w:r w:rsidR="00E07D35">
        <w:rPr>
          <w:kern w:val="16"/>
        </w:rPr>
        <w:t>0</w:t>
      </w:r>
      <w:r>
        <w:rPr>
          <w:kern w:val="16"/>
        </w:rPr>
        <w:t xml:space="preserve">:00, Rīgā, </w:t>
      </w:r>
      <w:proofErr w:type="spellStart"/>
      <w:r w:rsidR="00273DEA">
        <w:rPr>
          <w:kern w:val="16"/>
        </w:rPr>
        <w:t>Bonaventuras</w:t>
      </w:r>
      <w:proofErr w:type="spellEnd"/>
      <w:r w:rsidR="00273DEA">
        <w:rPr>
          <w:kern w:val="16"/>
        </w:rPr>
        <w:t xml:space="preserve"> iela 10</w:t>
      </w:r>
      <w:r>
        <w:rPr>
          <w:kern w:val="16"/>
        </w:rPr>
        <w:t xml:space="preserve">, Latvijas Etnogrāfiskā brīvdabas muzeja administrācijā, iesniedzot to personīgi vai atsūtot pa pastu. </w:t>
      </w:r>
      <w:r>
        <w:t xml:space="preserve">Pretendentiem, kuri piedāvājumus nosūta pa pastu, ir jānodrošina to piegāde šajā punktā norādītajā adresē līdz piedāvājumu iesniegšanas termiņam. </w:t>
      </w:r>
      <w:r>
        <w:rPr>
          <w:kern w:val="16"/>
        </w:rPr>
        <w:t>Piedāvājums, kas Latvijas Etnogrāfiskā</w:t>
      </w:r>
      <w:r w:rsidR="00E07D35">
        <w:rPr>
          <w:kern w:val="16"/>
        </w:rPr>
        <w:t xml:space="preserve"> brīvdabas muzejā tiks saņemts </w:t>
      </w:r>
      <w:r>
        <w:rPr>
          <w:kern w:val="16"/>
        </w:rPr>
        <w:t xml:space="preserve">pēc minētā termiņa, </w:t>
      </w:r>
      <w:proofErr w:type="gramStart"/>
      <w:r>
        <w:rPr>
          <w:kern w:val="16"/>
        </w:rPr>
        <w:t>neatvērts tiks</w:t>
      </w:r>
      <w:proofErr w:type="gramEnd"/>
      <w:r>
        <w:rPr>
          <w:kern w:val="16"/>
        </w:rPr>
        <w:t xml:space="preserve"> nosūtīs atpakaļ iesniedzējam.</w:t>
      </w:r>
    </w:p>
    <w:p w:rsidR="00BB44D4" w:rsidRDefault="00BB44D4" w:rsidP="00BB44D4">
      <w:pPr>
        <w:numPr>
          <w:ilvl w:val="0"/>
          <w:numId w:val="1"/>
        </w:numPr>
        <w:spacing w:before="120" w:after="120"/>
        <w:ind w:left="357" w:hanging="357"/>
        <w:jc w:val="both"/>
        <w:rPr>
          <w:kern w:val="16"/>
        </w:rPr>
      </w:pPr>
      <w:r>
        <w:t>Pretendentam jāiesniedz viens piedāvājuma oriģināls dokumentārā veidā pap</w:t>
      </w:r>
      <w:r w:rsidR="00E07D35">
        <w:t xml:space="preserve">īra formā ar norādi “ORIĢINĀLS”. </w:t>
      </w:r>
    </w:p>
    <w:p w:rsidR="00BB44D4" w:rsidRDefault="00BB44D4" w:rsidP="00BB44D4">
      <w:pPr>
        <w:numPr>
          <w:ilvl w:val="0"/>
          <w:numId w:val="1"/>
        </w:numPr>
        <w:spacing w:before="120" w:after="120"/>
        <w:ind w:left="357" w:hanging="357"/>
        <w:jc w:val="both"/>
        <w:rPr>
          <w:kern w:val="16"/>
        </w:rPr>
      </w:pPr>
      <w:r>
        <w:t>Visiem piedāvājumā ietvertajiem dokumentiem, materiāliem jābūt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lapu kopējais skaits.</w:t>
      </w:r>
    </w:p>
    <w:p w:rsidR="00BB44D4" w:rsidRDefault="00BB44D4" w:rsidP="00BB44D4">
      <w:pPr>
        <w:numPr>
          <w:ilvl w:val="0"/>
          <w:numId w:val="1"/>
        </w:numPr>
        <w:spacing w:before="120" w:after="120"/>
        <w:ind w:left="357" w:hanging="357"/>
        <w:jc w:val="both"/>
        <w:rPr>
          <w:kern w:val="16"/>
        </w:rPr>
      </w:pPr>
      <w:r>
        <w:t>Piedāvājums jāiesniedz vai jānosūta pa pastu vienā slēgtā, aizzīmogotā iepakojumā vai aploksnē. Uz iepakojuma vai aploksnes jānorāda: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BB44D4" w:rsidTr="00BB44D4">
        <w:trPr>
          <w:trHeight w:val="4028"/>
        </w:trPr>
        <w:tc>
          <w:tcPr>
            <w:tcW w:w="9272" w:type="dxa"/>
            <w:tcBorders>
              <w:top w:val="single" w:sz="4" w:space="0" w:color="auto"/>
              <w:left w:val="single" w:sz="4" w:space="0" w:color="auto"/>
              <w:bottom w:val="single" w:sz="4" w:space="0" w:color="auto"/>
              <w:right w:val="single" w:sz="4" w:space="0" w:color="auto"/>
            </w:tcBorders>
          </w:tcPr>
          <w:p w:rsidR="00BB44D4" w:rsidRDefault="00BB44D4">
            <w:pPr>
              <w:jc w:val="right"/>
            </w:pPr>
          </w:p>
          <w:p w:rsidR="00BB44D4" w:rsidRDefault="00BB44D4">
            <w:pPr>
              <w:jc w:val="right"/>
            </w:pPr>
            <w:r>
              <w:t>Latvijas Etnogrāfiskais brīvdabas muzejs</w:t>
            </w:r>
          </w:p>
          <w:p w:rsidR="00BB44D4" w:rsidRDefault="00740AFF">
            <w:pPr>
              <w:jc w:val="right"/>
            </w:pPr>
            <w:proofErr w:type="spellStart"/>
            <w:r>
              <w:t>Bonaventuras</w:t>
            </w:r>
            <w:proofErr w:type="spellEnd"/>
            <w:r>
              <w:t xml:space="preserve"> iela 10</w:t>
            </w:r>
            <w:r w:rsidR="00BB44D4">
              <w:t>, Rīga, LV-1024</w:t>
            </w:r>
          </w:p>
          <w:p w:rsidR="00BB44D4" w:rsidRDefault="00BB44D4"/>
          <w:p w:rsidR="00BB44D4" w:rsidRDefault="00BB44D4">
            <w:r>
              <w:t>Pretendenta nosaukums</w:t>
            </w:r>
          </w:p>
          <w:p w:rsidR="00BB44D4" w:rsidRDefault="00BB44D4">
            <w:r>
              <w:t>Pretendenta adrese</w:t>
            </w:r>
          </w:p>
          <w:p w:rsidR="00BB44D4" w:rsidRDefault="00BB44D4">
            <w:pPr>
              <w:jc w:val="right"/>
            </w:pPr>
          </w:p>
          <w:p w:rsidR="00BB44D4" w:rsidRDefault="00BB44D4">
            <w:pPr>
              <w:jc w:val="center"/>
            </w:pPr>
            <w:r>
              <w:t>Iepirkumam</w:t>
            </w:r>
          </w:p>
          <w:p w:rsidR="00BB44D4" w:rsidRDefault="00BB44D4" w:rsidP="00801FA3">
            <w:pPr>
              <w:ind w:left="360"/>
              <w:jc w:val="center"/>
            </w:pPr>
            <w:r>
              <w:t>„</w:t>
            </w:r>
            <w:r w:rsidR="00584A5C">
              <w:t xml:space="preserve">Latvijas Etnogrāfiskā brīvdabas muzeja </w:t>
            </w:r>
            <w:r w:rsidR="00740AFF">
              <w:t xml:space="preserve">ugunsdrošības </w:t>
            </w:r>
            <w:r w:rsidR="00801FA3">
              <w:t>inventāra piegāde</w:t>
            </w:r>
            <w:r>
              <w:t>”</w:t>
            </w:r>
          </w:p>
          <w:p w:rsidR="00BB44D4" w:rsidRDefault="00BB44D4">
            <w:pPr>
              <w:jc w:val="center"/>
            </w:pPr>
            <w:r>
              <w:t xml:space="preserve"> (iepirkuma identifikācijas Nr. </w:t>
            </w:r>
            <w:r>
              <w:rPr>
                <w:bCs/>
                <w:iCs/>
                <w:kern w:val="16"/>
              </w:rPr>
              <w:t xml:space="preserve">LEBM </w:t>
            </w:r>
            <w:r>
              <w:rPr>
                <w:bCs/>
                <w:kern w:val="16"/>
              </w:rPr>
              <w:t>2016/</w:t>
            </w:r>
            <w:r w:rsidR="00BE218F">
              <w:rPr>
                <w:bCs/>
                <w:kern w:val="16"/>
              </w:rPr>
              <w:t>1</w:t>
            </w:r>
            <w:r w:rsidR="00801FA3">
              <w:rPr>
                <w:bCs/>
                <w:kern w:val="16"/>
              </w:rPr>
              <w:t>1</w:t>
            </w:r>
            <w:r>
              <w:t>)</w:t>
            </w:r>
          </w:p>
          <w:p w:rsidR="00BB44D4" w:rsidRDefault="00BB44D4">
            <w:pPr>
              <w:jc w:val="center"/>
              <w:rPr>
                <w:highlight w:val="yellow"/>
              </w:rPr>
            </w:pPr>
          </w:p>
          <w:p w:rsidR="00BB44D4" w:rsidRDefault="00BB44D4" w:rsidP="000F4766">
            <w:pPr>
              <w:spacing w:after="120"/>
              <w:jc w:val="center"/>
              <w:rPr>
                <w:kern w:val="16"/>
              </w:rPr>
            </w:pPr>
            <w:r>
              <w:t xml:space="preserve">Neatvērt līdz </w:t>
            </w:r>
            <w:proofErr w:type="gramStart"/>
            <w:r>
              <w:t>2016.gada</w:t>
            </w:r>
            <w:proofErr w:type="gramEnd"/>
            <w:r>
              <w:t xml:space="preserve"> </w:t>
            </w:r>
            <w:r w:rsidR="000F4766">
              <w:t>11</w:t>
            </w:r>
            <w:r w:rsidRPr="00305EB9">
              <w:t>.</w:t>
            </w:r>
            <w:r w:rsidR="00801FA3">
              <w:t>novembrim</w:t>
            </w:r>
            <w:r>
              <w:t>, plkst. 1</w:t>
            </w:r>
            <w:r w:rsidR="00584A5C">
              <w:t>0</w:t>
            </w:r>
            <w:r>
              <w:t>:00!</w:t>
            </w:r>
            <w:r>
              <w:br/>
            </w:r>
          </w:p>
        </w:tc>
      </w:tr>
    </w:tbl>
    <w:p w:rsidR="00BB44D4" w:rsidRDefault="00BB44D4" w:rsidP="00BB44D4">
      <w:pPr>
        <w:tabs>
          <w:tab w:val="left" w:pos="993"/>
        </w:tabs>
        <w:jc w:val="both"/>
        <w:rPr>
          <w:kern w:val="16"/>
        </w:rPr>
      </w:pPr>
    </w:p>
    <w:p w:rsidR="00BB44D4" w:rsidRDefault="00BB44D4" w:rsidP="00BB44D4">
      <w:pPr>
        <w:numPr>
          <w:ilvl w:val="0"/>
          <w:numId w:val="1"/>
        </w:numPr>
        <w:tabs>
          <w:tab w:val="left" w:pos="993"/>
        </w:tabs>
        <w:spacing w:before="120" w:after="120"/>
        <w:ind w:left="357" w:hanging="357"/>
        <w:jc w:val="both"/>
        <w:rPr>
          <w:kern w:val="16"/>
        </w:rPr>
      </w:pPr>
      <w:r>
        <w:rPr>
          <w:kern w:val="16"/>
        </w:rPr>
        <w:t>Piedāvājums sastāv no atlases dokumentiem, tehniskā piedāvājuma un finanšu piedāvājuma.</w:t>
      </w:r>
      <w:r>
        <w:rPr>
          <w:b/>
        </w:rPr>
        <w:t xml:space="preserve"> </w:t>
      </w:r>
    </w:p>
    <w:p w:rsidR="00BB44D4" w:rsidRPr="00596D39" w:rsidRDefault="00BB44D4" w:rsidP="00BB44D4">
      <w:pPr>
        <w:numPr>
          <w:ilvl w:val="1"/>
          <w:numId w:val="1"/>
        </w:numPr>
        <w:tabs>
          <w:tab w:val="left" w:pos="993"/>
        </w:tabs>
        <w:spacing w:before="120" w:after="120"/>
        <w:jc w:val="both"/>
        <w:rPr>
          <w:kern w:val="16"/>
        </w:rPr>
      </w:pPr>
      <w:r>
        <w:rPr>
          <w:b/>
        </w:rPr>
        <w:t xml:space="preserve">Atlases dokumenti: </w:t>
      </w:r>
      <w:r w:rsidRPr="00A31673">
        <w:t xml:space="preserve">Atlases dokumenti sastāv no šo noteikumu </w:t>
      </w:r>
      <w:r w:rsidR="00AC04B6" w:rsidRPr="00A52ED6">
        <w:t>2</w:t>
      </w:r>
      <w:r w:rsidR="00A52ED6" w:rsidRPr="00A52ED6">
        <w:t>2</w:t>
      </w:r>
      <w:r w:rsidRPr="00A52ED6">
        <w:t xml:space="preserve">.punktā </w:t>
      </w:r>
      <w:r w:rsidRPr="00A31673">
        <w:t>minētajiem dokumentiem.</w:t>
      </w:r>
    </w:p>
    <w:p w:rsidR="00596D39" w:rsidRDefault="00596D39" w:rsidP="00BB44D4">
      <w:pPr>
        <w:numPr>
          <w:ilvl w:val="1"/>
          <w:numId w:val="1"/>
        </w:numPr>
        <w:tabs>
          <w:tab w:val="left" w:pos="993"/>
        </w:tabs>
        <w:spacing w:before="120" w:after="120"/>
        <w:jc w:val="both"/>
        <w:rPr>
          <w:kern w:val="16"/>
        </w:rPr>
      </w:pPr>
      <w:r>
        <w:rPr>
          <w:b/>
        </w:rPr>
        <w:t xml:space="preserve">Tehniskais piedāvājums: </w:t>
      </w:r>
      <w:r w:rsidRPr="00A31673">
        <w:t xml:space="preserve">Tehnisko piedāvājumu sagatavo saskaņā ar šo noteikumu </w:t>
      </w:r>
      <w:r w:rsidR="00AC04B6" w:rsidRPr="00A52ED6">
        <w:t>2</w:t>
      </w:r>
      <w:r w:rsidR="00A52ED6" w:rsidRPr="00A52ED6">
        <w:t>3</w:t>
      </w:r>
      <w:r w:rsidRPr="00A52ED6">
        <w:t xml:space="preserve">.punktā </w:t>
      </w:r>
      <w:r w:rsidRPr="00A31673">
        <w:t>minētajām prasībām.</w:t>
      </w:r>
    </w:p>
    <w:p w:rsidR="00BB44D4" w:rsidRDefault="00BB44D4" w:rsidP="00BB44D4">
      <w:pPr>
        <w:numPr>
          <w:ilvl w:val="1"/>
          <w:numId w:val="1"/>
        </w:numPr>
        <w:tabs>
          <w:tab w:val="left" w:pos="993"/>
        </w:tabs>
        <w:spacing w:before="120" w:after="120"/>
        <w:jc w:val="both"/>
      </w:pPr>
      <w:r>
        <w:rPr>
          <w:b/>
        </w:rPr>
        <w:t>Finanšu piedāvājums:</w:t>
      </w:r>
      <w:r>
        <w:rPr>
          <w:b/>
          <w:color w:val="FF0000"/>
        </w:rPr>
        <w:t xml:space="preserve"> </w:t>
      </w:r>
      <w:r w:rsidRPr="00A31673">
        <w:t xml:space="preserve">Finanšu piedāvājumu sagatavo saskaņā ar šo noteikumu </w:t>
      </w:r>
      <w:r w:rsidR="00AC04B6" w:rsidRPr="00A52ED6">
        <w:t>2</w:t>
      </w:r>
      <w:r w:rsidR="00A52ED6" w:rsidRPr="00A52ED6">
        <w:t>4</w:t>
      </w:r>
      <w:r w:rsidRPr="00A52ED6">
        <w:t xml:space="preserve">.punktā </w:t>
      </w:r>
      <w:r w:rsidRPr="00A31673">
        <w:t>minētajām prasībām.</w:t>
      </w:r>
      <w:r w:rsidRPr="003166F7">
        <w:t xml:space="preserve"> </w:t>
      </w:r>
    </w:p>
    <w:p w:rsidR="00BB44D4" w:rsidRDefault="00BB44D4" w:rsidP="00BB44D4">
      <w:pPr>
        <w:numPr>
          <w:ilvl w:val="0"/>
          <w:numId w:val="1"/>
        </w:numPr>
        <w:tabs>
          <w:tab w:val="left" w:pos="993"/>
        </w:tabs>
        <w:spacing w:before="120" w:after="120"/>
        <w:ind w:left="357" w:hanging="357"/>
        <w:jc w:val="both"/>
        <w:rPr>
          <w:kern w:val="16"/>
        </w:rPr>
      </w:pPr>
      <w:r>
        <w:t>Piedāvājumā iekļauto dokumentāciju paraksta pretendentu pārstāvēt tiesīga vai pilnvarota persona. Gadījumā, ja piedāvājumā iekļauto dokumentāciju paraksta pilnvarota persona, piedāvājumam pievieno attiecīgu pilnvaru.</w:t>
      </w:r>
    </w:p>
    <w:p w:rsidR="00BB44D4" w:rsidRDefault="00BB44D4" w:rsidP="00BB44D4">
      <w:pPr>
        <w:numPr>
          <w:ilvl w:val="0"/>
          <w:numId w:val="1"/>
        </w:numPr>
        <w:tabs>
          <w:tab w:val="left" w:pos="993"/>
        </w:tabs>
        <w:spacing w:before="120" w:after="120"/>
        <w:ind w:left="357" w:hanging="357"/>
        <w:jc w:val="both"/>
        <w:rPr>
          <w:kern w:val="16"/>
        </w:rPr>
      </w:pPr>
      <w:r>
        <w:t>Piedāvājums jāsagatavo latviešu valodā.</w:t>
      </w:r>
    </w:p>
    <w:p w:rsidR="00BB44D4" w:rsidRDefault="00BB44D4" w:rsidP="00BB44D4">
      <w:pPr>
        <w:numPr>
          <w:ilvl w:val="0"/>
          <w:numId w:val="1"/>
        </w:numPr>
        <w:tabs>
          <w:tab w:val="left" w:pos="993"/>
        </w:tabs>
        <w:spacing w:before="120" w:after="120"/>
        <w:ind w:left="357" w:hanging="357"/>
        <w:jc w:val="both"/>
        <w:rPr>
          <w:kern w:val="16"/>
        </w:rPr>
      </w:pPr>
      <w:r>
        <w:rPr>
          <w:bCs/>
        </w:rPr>
        <w:t xml:space="preserve">Piedāvājumā iekļautajiem dokumentiem jābūt datora izdrukas veidā, skaidri salasāmiem. Vārdiem un skaitļiem jābūt bez iestarpinājumiem vai labojumiem. Ja kāds no piedāvājumā iekļautajiem dokumentiem ir svešvalodā, tad pretendents pievieno apliecinātu šā dokumenta tulkojumu latviešu valodā, saskaņā ar Ministru kabineta </w:t>
      </w:r>
      <w:proofErr w:type="gramStart"/>
      <w:r>
        <w:rPr>
          <w:bCs/>
        </w:rPr>
        <w:t>2000.gada</w:t>
      </w:r>
      <w:proofErr w:type="gramEnd"/>
      <w:r>
        <w:rPr>
          <w:bCs/>
        </w:rPr>
        <w:t xml:space="preserve"> 22.augusta noteikumiem Nr.291 „Kārtība, kādā apliecināmi dokumentu tulkojumi valsts valodā”.</w:t>
      </w:r>
    </w:p>
    <w:p w:rsidR="00EF3B4E" w:rsidRPr="00801FA3" w:rsidRDefault="00BB44D4" w:rsidP="00801FA3">
      <w:pPr>
        <w:numPr>
          <w:ilvl w:val="0"/>
          <w:numId w:val="1"/>
        </w:numPr>
        <w:tabs>
          <w:tab w:val="left" w:pos="993"/>
        </w:tabs>
        <w:spacing w:before="120" w:after="120"/>
        <w:ind w:left="357" w:hanging="357"/>
        <w:jc w:val="both"/>
        <w:rPr>
          <w:kern w:val="16"/>
        </w:rPr>
      </w:pPr>
      <w:r>
        <w:t>Dokumentu kopijas jāapliecina normatīvajos aktos noteiktajā kārtībā. Iesniedzot piedāvājumu, pretendents ir tiesīgs visu iesniegto dokumentu atvasinājumu un tulkojumu pareizību apliecināt ar vienu apliecinājumu, ja viss piedāvājums ir cauršūts vai caurauklots.</w:t>
      </w:r>
    </w:p>
    <w:p w:rsidR="00BB44D4" w:rsidRDefault="00BB44D4" w:rsidP="00BB44D4">
      <w:pPr>
        <w:numPr>
          <w:ilvl w:val="0"/>
          <w:numId w:val="1"/>
        </w:numPr>
        <w:tabs>
          <w:tab w:val="left" w:pos="993"/>
        </w:tabs>
        <w:spacing w:before="120" w:after="120"/>
        <w:ind w:left="357" w:hanging="357"/>
        <w:jc w:val="both"/>
        <w:rPr>
          <w:kern w:val="16"/>
        </w:rPr>
      </w:pPr>
      <w:r>
        <w:rPr>
          <w:b/>
        </w:rPr>
        <w:t>Piedāvājuma apjoms:</w:t>
      </w:r>
      <w:r>
        <w:t xml:space="preserve"> Pretendents piedāvājumu iesniedz par visu iepirkuma priekšmeta apjomu. Iepirkums nav sadalīts daļās.</w:t>
      </w:r>
    </w:p>
    <w:p w:rsidR="00BB44D4" w:rsidRDefault="00BB44D4" w:rsidP="00BB44D4">
      <w:pPr>
        <w:widowControl w:val="0"/>
        <w:numPr>
          <w:ilvl w:val="0"/>
          <w:numId w:val="1"/>
        </w:numPr>
        <w:tabs>
          <w:tab w:val="left" w:pos="426"/>
        </w:tabs>
        <w:spacing w:before="120" w:after="120"/>
        <w:ind w:left="357" w:hanging="357"/>
        <w:jc w:val="both"/>
      </w:pPr>
      <w:r>
        <w:rPr>
          <w:b/>
        </w:rPr>
        <w:t>Piedāvājuma grozīšana vai atsaukšana:</w:t>
      </w:r>
      <w:r>
        <w:t xml:space="preserve"> Pēc piedāvājumu iesniegšanas termiņa beigām pretendents nevar savu piedāvājumu grozīt vai atsaukt.</w:t>
      </w:r>
    </w:p>
    <w:p w:rsidR="00801FA3" w:rsidRDefault="00801FA3" w:rsidP="00801FA3">
      <w:pPr>
        <w:widowControl w:val="0"/>
        <w:tabs>
          <w:tab w:val="left" w:pos="426"/>
        </w:tabs>
        <w:spacing w:before="120" w:after="120"/>
        <w:ind w:left="357"/>
        <w:jc w:val="both"/>
        <w:rPr>
          <w:b/>
        </w:rPr>
      </w:pPr>
    </w:p>
    <w:p w:rsidR="00801FA3" w:rsidRDefault="00801FA3" w:rsidP="00801FA3">
      <w:pPr>
        <w:widowControl w:val="0"/>
        <w:tabs>
          <w:tab w:val="left" w:pos="426"/>
        </w:tabs>
        <w:spacing w:before="120" w:after="120"/>
        <w:ind w:left="357"/>
        <w:jc w:val="both"/>
      </w:pPr>
    </w:p>
    <w:p w:rsidR="00BB44D4" w:rsidRDefault="00BB44D4" w:rsidP="00BB44D4">
      <w:pPr>
        <w:spacing w:before="240" w:after="240"/>
        <w:jc w:val="center"/>
        <w:rPr>
          <w:b/>
          <w:kern w:val="16"/>
        </w:rPr>
      </w:pPr>
      <w:r>
        <w:rPr>
          <w:b/>
          <w:kern w:val="16"/>
        </w:rPr>
        <w:lastRenderedPageBreak/>
        <w:t xml:space="preserve">III </w:t>
      </w:r>
      <w:r>
        <w:rPr>
          <w:b/>
        </w:rPr>
        <w:t>Nosacījumi pretendenta dalībai iepirkumā</w:t>
      </w:r>
    </w:p>
    <w:p w:rsidR="00BB44D4" w:rsidRDefault="00BB44D4" w:rsidP="00BB44D4">
      <w:pPr>
        <w:numPr>
          <w:ilvl w:val="0"/>
          <w:numId w:val="1"/>
        </w:numPr>
        <w:tabs>
          <w:tab w:val="left" w:pos="993"/>
        </w:tabs>
        <w:spacing w:before="120" w:after="120"/>
        <w:ind w:left="357" w:hanging="357"/>
        <w:jc w:val="both"/>
        <w:rPr>
          <w:kern w:val="16"/>
        </w:rPr>
      </w:pPr>
      <w:bookmarkStart w:id="5" w:name="_Toc61422136"/>
      <w:bookmarkStart w:id="6" w:name="_Toc53909470"/>
      <w:bookmarkStart w:id="7" w:name="_Toc59334731"/>
      <w:r>
        <w:t>Pretendentu atlases prasību izpilde ir obligāta visiem pretendentiem, kas vēlas iegūt tiesības slēgt iepirkuma līgumu.</w:t>
      </w:r>
    </w:p>
    <w:p w:rsidR="00BB44D4" w:rsidRDefault="00BB44D4" w:rsidP="00BB44D4">
      <w:pPr>
        <w:numPr>
          <w:ilvl w:val="0"/>
          <w:numId w:val="1"/>
        </w:numPr>
        <w:tabs>
          <w:tab w:val="left" w:pos="993"/>
        </w:tabs>
        <w:spacing w:before="120" w:after="120"/>
        <w:ind w:left="357" w:hanging="357"/>
        <w:jc w:val="both"/>
        <w:rPr>
          <w:kern w:val="16"/>
        </w:rPr>
      </w:pPr>
      <w:r>
        <w:t xml:space="preserve">Pretendents ir reģistrēts Latvijas Republikas Uzņēmumu reģistra Komercreģistrā vai līdzvērtīgā reģistrā ārvalstīs, normatīvajos aktos noteiktajos gadījumos. </w:t>
      </w:r>
    </w:p>
    <w:p w:rsidR="00BB44D4" w:rsidRDefault="00BB44D4" w:rsidP="00BB44D4">
      <w:pPr>
        <w:numPr>
          <w:ilvl w:val="0"/>
          <w:numId w:val="1"/>
        </w:numPr>
        <w:tabs>
          <w:tab w:val="left" w:pos="993"/>
        </w:tabs>
        <w:spacing w:before="120" w:after="120"/>
        <w:ind w:left="357" w:hanging="357"/>
        <w:jc w:val="both"/>
        <w:rPr>
          <w:kern w:val="16"/>
        </w:rPr>
      </w:pPr>
      <w:bookmarkStart w:id="8" w:name="_Toc254101841"/>
      <w:r>
        <w:t>Pretendenta finanšu apgrozījums pēdēj</w:t>
      </w:r>
      <w:r w:rsidR="00D033EE">
        <w:t>ā</w:t>
      </w:r>
      <w:r>
        <w:t xml:space="preserve"> noslēgt</w:t>
      </w:r>
      <w:r w:rsidR="00D033EE">
        <w:t>ā</w:t>
      </w:r>
      <w:r>
        <w:t xml:space="preserve"> gad</w:t>
      </w:r>
      <w:r w:rsidR="00D033EE">
        <w:t>ā</w:t>
      </w:r>
      <w:r>
        <w:t xml:space="preserve"> (</w:t>
      </w:r>
      <w:proofErr w:type="gramStart"/>
      <w:r>
        <w:t>201</w:t>
      </w:r>
      <w:r w:rsidR="00584A5C">
        <w:t>5</w:t>
      </w:r>
      <w:r>
        <w:t>.gads</w:t>
      </w:r>
      <w:proofErr w:type="gramEnd"/>
      <w:r>
        <w:t xml:space="preserve">) ir ne mazāks kā EUR </w:t>
      </w:r>
      <w:r w:rsidR="003166F7">
        <w:t>1</w:t>
      </w:r>
      <w:r w:rsidR="00801FA3">
        <w:t>2</w:t>
      </w:r>
      <w:r>
        <w:t> </w:t>
      </w:r>
      <w:r w:rsidR="00584A5C">
        <w:t>0</w:t>
      </w:r>
      <w:r w:rsidR="008E45C4">
        <w:t>00.00 (</w:t>
      </w:r>
      <w:r w:rsidR="00801FA3">
        <w:t>divpa</w:t>
      </w:r>
      <w:r w:rsidR="003166F7">
        <w:t>dsmit</w:t>
      </w:r>
      <w:r>
        <w:t xml:space="preserve"> tūkstoši </w:t>
      </w:r>
      <w:proofErr w:type="spellStart"/>
      <w:r>
        <w:t>euro</w:t>
      </w:r>
      <w:proofErr w:type="spellEnd"/>
      <w:r>
        <w:t xml:space="preserve"> un 00 centi). </w:t>
      </w:r>
    </w:p>
    <w:p w:rsidR="00BB44D4" w:rsidRDefault="00BB44D4" w:rsidP="00BB44D4">
      <w:pPr>
        <w:numPr>
          <w:ilvl w:val="0"/>
          <w:numId w:val="1"/>
        </w:numPr>
        <w:tabs>
          <w:tab w:val="left" w:pos="993"/>
        </w:tabs>
        <w:jc w:val="both"/>
      </w:pPr>
      <w:r>
        <w:t xml:space="preserve">Pretendentam, iepriekšējo </w:t>
      </w:r>
      <w:r w:rsidR="00F20911">
        <w:t>2</w:t>
      </w:r>
      <w:r>
        <w:t xml:space="preserve"> (</w:t>
      </w:r>
      <w:r w:rsidR="00F20911">
        <w:t>divu</w:t>
      </w:r>
      <w:r>
        <w:t xml:space="preserve">) gadu laikā </w:t>
      </w:r>
      <w:r>
        <w:rPr>
          <w:lang w:eastAsia="lv-LV"/>
        </w:rPr>
        <w:t>(t.i. 201</w:t>
      </w:r>
      <w:r w:rsidR="00773688">
        <w:rPr>
          <w:lang w:eastAsia="lv-LV"/>
        </w:rPr>
        <w:t>4</w:t>
      </w:r>
      <w:r>
        <w:rPr>
          <w:lang w:eastAsia="lv-LV"/>
        </w:rPr>
        <w:t>., 201</w:t>
      </w:r>
      <w:r w:rsidR="00773688">
        <w:rPr>
          <w:lang w:eastAsia="lv-LV"/>
        </w:rPr>
        <w:t>5</w:t>
      </w:r>
      <w:r>
        <w:rPr>
          <w:lang w:eastAsia="lv-LV"/>
        </w:rPr>
        <w:t>.</w:t>
      </w:r>
      <w:r>
        <w:rPr>
          <w:i/>
          <w:lang w:eastAsia="lv-LV"/>
        </w:rPr>
        <w:t xml:space="preserve"> un līdz piedāvājumu iesniegšanas dienai, proti, </w:t>
      </w:r>
      <w:proofErr w:type="gramStart"/>
      <w:r>
        <w:rPr>
          <w:i/>
          <w:lang w:eastAsia="lv-LV"/>
        </w:rPr>
        <w:t>2016.gada</w:t>
      </w:r>
      <w:proofErr w:type="gramEnd"/>
      <w:r>
        <w:rPr>
          <w:i/>
          <w:lang w:eastAsia="lv-LV"/>
        </w:rPr>
        <w:t xml:space="preserve"> </w:t>
      </w:r>
      <w:r w:rsidR="000F4766">
        <w:rPr>
          <w:i/>
          <w:lang w:eastAsia="lv-LV"/>
        </w:rPr>
        <w:t>11</w:t>
      </w:r>
      <w:bookmarkStart w:id="9" w:name="_GoBack"/>
      <w:bookmarkEnd w:id="9"/>
      <w:r>
        <w:rPr>
          <w:i/>
          <w:lang w:eastAsia="lv-LV"/>
        </w:rPr>
        <w:t>.</w:t>
      </w:r>
      <w:r w:rsidR="00425552">
        <w:rPr>
          <w:i/>
          <w:lang w:eastAsia="lv-LV"/>
        </w:rPr>
        <w:t>novembrim</w:t>
      </w:r>
      <w:r>
        <w:rPr>
          <w:lang w:eastAsia="lv-LV"/>
        </w:rPr>
        <w:t>)</w:t>
      </w:r>
      <w:r>
        <w:rPr>
          <w:i/>
          <w:lang w:eastAsia="lv-LV"/>
        </w:rPr>
        <w:t xml:space="preserve"> </w:t>
      </w:r>
      <w:r>
        <w:rPr>
          <w:lang w:eastAsia="lv-LV"/>
        </w:rPr>
        <w:t xml:space="preserve">ir bijusi pieredze </w:t>
      </w:r>
      <w:r w:rsidR="002322FB">
        <w:rPr>
          <w:lang w:eastAsia="lv-LV"/>
        </w:rPr>
        <w:t xml:space="preserve">ugunsdrošības </w:t>
      </w:r>
      <w:r w:rsidR="007617CC">
        <w:rPr>
          <w:lang w:eastAsia="lv-LV"/>
        </w:rPr>
        <w:t>inventāra piegādē.</w:t>
      </w:r>
    </w:p>
    <w:p w:rsidR="00BB44D4" w:rsidRPr="00437847" w:rsidRDefault="00437847" w:rsidP="00437847">
      <w:pPr>
        <w:tabs>
          <w:tab w:val="left" w:pos="993"/>
        </w:tabs>
        <w:ind w:left="360"/>
        <w:jc w:val="both"/>
        <w:rPr>
          <w:lang w:eastAsia="lv-LV"/>
        </w:rPr>
      </w:pPr>
      <w:r>
        <w:rPr>
          <w:lang w:eastAsia="lv-LV"/>
        </w:rPr>
        <w:t xml:space="preserve">Ugunsdrošības inventāra piegādēm </w:t>
      </w:r>
      <w:r w:rsidR="00BB44D4">
        <w:rPr>
          <w:lang w:eastAsia="lv-LV"/>
        </w:rPr>
        <w:t xml:space="preserve">ir jābūt </w:t>
      </w:r>
      <w:r>
        <w:rPr>
          <w:lang w:eastAsia="lv-LV"/>
        </w:rPr>
        <w:t>notikušām</w:t>
      </w:r>
      <w:r w:rsidR="00BB44D4">
        <w:rPr>
          <w:lang w:eastAsia="lv-LV"/>
        </w:rPr>
        <w:t xml:space="preserve">, un </w:t>
      </w:r>
      <w:r w:rsidR="00BB44D4">
        <w:t>par t</w:t>
      </w:r>
      <w:r>
        <w:t>ā</w:t>
      </w:r>
      <w:r w:rsidR="00BB44D4">
        <w:t xml:space="preserve">m ir iespējams saņemt pozitīvu pasūtītāja atsauksmi. </w:t>
      </w:r>
    </w:p>
    <w:p w:rsidR="00BB44D4" w:rsidRDefault="00BB44D4" w:rsidP="00BB44D4">
      <w:pPr>
        <w:numPr>
          <w:ilvl w:val="0"/>
          <w:numId w:val="1"/>
        </w:numPr>
        <w:tabs>
          <w:tab w:val="left" w:pos="993"/>
        </w:tabs>
        <w:jc w:val="both"/>
        <w:rPr>
          <w:kern w:val="16"/>
        </w:rPr>
      </w:pPr>
      <w:r>
        <w:t>Pretendentam jānorāda visi apakšuzņēmēji, un apakšuzņēmēja apakšuzņēmēji.</w:t>
      </w:r>
    </w:p>
    <w:bookmarkEnd w:id="5"/>
    <w:bookmarkEnd w:id="6"/>
    <w:bookmarkEnd w:id="8"/>
    <w:p w:rsidR="00BB44D4" w:rsidRDefault="00BB44D4" w:rsidP="00BB44D4">
      <w:pPr>
        <w:spacing w:before="240" w:after="240"/>
        <w:jc w:val="center"/>
        <w:rPr>
          <w:b/>
          <w:kern w:val="16"/>
        </w:rPr>
      </w:pPr>
      <w:r>
        <w:rPr>
          <w:b/>
          <w:kern w:val="16"/>
        </w:rPr>
        <w:t xml:space="preserve">IV </w:t>
      </w:r>
      <w:r>
        <w:rPr>
          <w:b/>
        </w:rPr>
        <w:t>Pretendenta iesniedzamie dokumenti</w:t>
      </w:r>
    </w:p>
    <w:bookmarkEnd w:id="7"/>
    <w:p w:rsidR="00BB44D4" w:rsidRDefault="00BB44D4" w:rsidP="00BB44D4">
      <w:pPr>
        <w:numPr>
          <w:ilvl w:val="0"/>
          <w:numId w:val="1"/>
        </w:numPr>
        <w:spacing w:before="120" w:after="120"/>
        <w:ind w:left="357" w:hanging="357"/>
        <w:jc w:val="both"/>
        <w:rPr>
          <w:b/>
          <w:kern w:val="16"/>
          <w:u w:val="single"/>
        </w:rPr>
      </w:pPr>
      <w:r>
        <w:rPr>
          <w:b/>
        </w:rPr>
        <w:t>Pretendenta atlases dokumenti</w:t>
      </w:r>
    </w:p>
    <w:p w:rsidR="00BB44D4" w:rsidRDefault="00BB44D4" w:rsidP="00BB44D4">
      <w:pPr>
        <w:pStyle w:val="Sarakstarindkopa1"/>
        <w:numPr>
          <w:ilvl w:val="1"/>
          <w:numId w:val="1"/>
        </w:numPr>
        <w:spacing w:before="120" w:after="120" w:line="240" w:lineRule="auto"/>
        <w:rPr>
          <w:rFonts w:ascii="Times New Roman" w:hAnsi="Times New Roman"/>
          <w:sz w:val="24"/>
          <w:szCs w:val="24"/>
        </w:rPr>
      </w:pPr>
      <w:r>
        <w:rPr>
          <w:rFonts w:ascii="Times New Roman" w:hAnsi="Times New Roman"/>
          <w:sz w:val="24"/>
          <w:szCs w:val="24"/>
        </w:rPr>
        <w:t xml:space="preserve">Pretendenta parakstīts pieteikums dalībai iepirkumā, kurš sagatavots saskaņā ar noteikumu 2.pielikumā pievienoto veidni. </w:t>
      </w:r>
    </w:p>
    <w:p w:rsidR="00BB44D4" w:rsidRDefault="00BB44D4" w:rsidP="00BB44D4">
      <w:pPr>
        <w:pStyle w:val="Sarakstarindkopa1"/>
        <w:numPr>
          <w:ilvl w:val="1"/>
          <w:numId w:val="1"/>
        </w:numPr>
        <w:spacing w:before="120" w:after="120" w:line="240" w:lineRule="auto"/>
        <w:rPr>
          <w:rFonts w:ascii="Times New Roman" w:hAnsi="Times New Roman"/>
          <w:b/>
          <w:kern w:val="16"/>
          <w:sz w:val="24"/>
          <w:szCs w:val="24"/>
          <w:u w:val="single"/>
        </w:rPr>
      </w:pPr>
      <w:r>
        <w:rPr>
          <w:rFonts w:ascii="Times New Roman" w:hAnsi="Times New Roman"/>
          <w:sz w:val="24"/>
          <w:szCs w:val="24"/>
        </w:rPr>
        <w:t>Pretendenta rakstisks a</w:t>
      </w:r>
      <w:r w:rsidR="002B2E1B">
        <w:rPr>
          <w:rFonts w:ascii="Times New Roman" w:hAnsi="Times New Roman"/>
          <w:sz w:val="24"/>
          <w:szCs w:val="24"/>
        </w:rPr>
        <w:t>prēķins par finanšu apgrozījumu</w:t>
      </w:r>
      <w:r>
        <w:rPr>
          <w:rFonts w:ascii="Times New Roman" w:hAnsi="Times New Roman"/>
          <w:sz w:val="24"/>
          <w:szCs w:val="24"/>
        </w:rPr>
        <w:t xml:space="preserve"> par </w:t>
      </w:r>
      <w:r w:rsidR="00744555" w:rsidRPr="00744555">
        <w:rPr>
          <w:rFonts w:ascii="Times New Roman" w:hAnsi="Times New Roman"/>
          <w:sz w:val="24"/>
          <w:szCs w:val="24"/>
        </w:rPr>
        <w:t>pēdēj</w:t>
      </w:r>
      <w:r w:rsidR="002B2E1B">
        <w:rPr>
          <w:rFonts w:ascii="Times New Roman" w:hAnsi="Times New Roman"/>
          <w:sz w:val="24"/>
          <w:szCs w:val="24"/>
        </w:rPr>
        <w:t>o</w:t>
      </w:r>
      <w:r w:rsidR="00744555" w:rsidRPr="00744555">
        <w:rPr>
          <w:rFonts w:ascii="Times New Roman" w:hAnsi="Times New Roman"/>
          <w:sz w:val="24"/>
          <w:szCs w:val="24"/>
        </w:rPr>
        <w:t xml:space="preserve"> noslēgt</w:t>
      </w:r>
      <w:r w:rsidR="002B2E1B">
        <w:rPr>
          <w:rFonts w:ascii="Times New Roman" w:hAnsi="Times New Roman"/>
          <w:sz w:val="24"/>
          <w:szCs w:val="24"/>
        </w:rPr>
        <w:t>o</w:t>
      </w:r>
      <w:r w:rsidR="00744555" w:rsidRPr="00744555">
        <w:rPr>
          <w:rFonts w:ascii="Times New Roman" w:hAnsi="Times New Roman"/>
          <w:sz w:val="24"/>
          <w:szCs w:val="24"/>
        </w:rPr>
        <w:t xml:space="preserve"> gad</w:t>
      </w:r>
      <w:r w:rsidR="002B2E1B">
        <w:rPr>
          <w:rFonts w:ascii="Times New Roman" w:hAnsi="Times New Roman"/>
          <w:sz w:val="24"/>
          <w:szCs w:val="24"/>
        </w:rPr>
        <w:t>u</w:t>
      </w:r>
      <w:r w:rsidR="00744555" w:rsidRPr="00744555">
        <w:rPr>
          <w:rFonts w:ascii="Times New Roman" w:hAnsi="Times New Roman"/>
          <w:sz w:val="24"/>
          <w:szCs w:val="24"/>
        </w:rPr>
        <w:t xml:space="preserve"> (</w:t>
      </w:r>
      <w:proofErr w:type="gramStart"/>
      <w:r w:rsidR="00744555" w:rsidRPr="00744555">
        <w:rPr>
          <w:rFonts w:ascii="Times New Roman" w:hAnsi="Times New Roman"/>
          <w:sz w:val="24"/>
          <w:szCs w:val="24"/>
        </w:rPr>
        <w:t>2015.gads</w:t>
      </w:r>
      <w:proofErr w:type="gramEnd"/>
      <w:r w:rsidR="00744555" w:rsidRPr="00744555">
        <w:rPr>
          <w:rFonts w:ascii="Times New Roman" w:hAnsi="Times New Roman"/>
          <w:sz w:val="24"/>
          <w:szCs w:val="24"/>
        </w:rPr>
        <w:t>)</w:t>
      </w:r>
      <w:r w:rsidRPr="00744555">
        <w:rPr>
          <w:rFonts w:ascii="Times New Roman" w:hAnsi="Times New Roman"/>
          <w:sz w:val="24"/>
          <w:szCs w:val="24"/>
        </w:rPr>
        <w:t xml:space="preserve">, </w:t>
      </w:r>
      <w:r>
        <w:rPr>
          <w:rFonts w:ascii="Times New Roman" w:hAnsi="Times New Roman"/>
          <w:sz w:val="24"/>
          <w:szCs w:val="24"/>
        </w:rPr>
        <w:t>klāt pievienojot peļņas – zaudējumu aprēķinu par katru norādīto finanšu gadu.</w:t>
      </w:r>
    </w:p>
    <w:p w:rsidR="00BB44D4" w:rsidRDefault="00BB44D4" w:rsidP="00BB44D4">
      <w:pPr>
        <w:numPr>
          <w:ilvl w:val="1"/>
          <w:numId w:val="1"/>
        </w:numPr>
        <w:tabs>
          <w:tab w:val="left" w:pos="993"/>
        </w:tabs>
        <w:spacing w:before="60" w:after="60"/>
        <w:jc w:val="both"/>
      </w:pPr>
      <w:r>
        <w:t xml:space="preserve">Pretendenta sagatavots pieredzes </w:t>
      </w:r>
      <w:r w:rsidR="00F11937">
        <w:t xml:space="preserve">saraksts par </w:t>
      </w:r>
      <w:r w:rsidR="00FB0E96">
        <w:rPr>
          <w:lang w:eastAsia="lv-LV"/>
        </w:rPr>
        <w:t>ugunsdrošības inventāra piegādi</w:t>
      </w:r>
      <w:r w:rsidR="00FB0E96">
        <w:t xml:space="preserve"> </w:t>
      </w:r>
      <w:r>
        <w:t>saskaņā ar noteikumu 3.pielikumā pievienoto veidni, klāt pievienojot 1 (vienu) pasūtītāja pozit</w:t>
      </w:r>
      <w:r w:rsidR="00A41F47">
        <w:t xml:space="preserve">īvu atsauksmi un </w:t>
      </w:r>
      <w:r>
        <w:t xml:space="preserve">aktu par </w:t>
      </w:r>
      <w:r w:rsidR="00FB0E96">
        <w:rPr>
          <w:lang w:eastAsia="lv-LV"/>
        </w:rPr>
        <w:t>ugunsdrošības inventāra piegādes</w:t>
      </w:r>
      <w:r w:rsidR="00FB0E96">
        <w:t xml:space="preserve"> </w:t>
      </w:r>
      <w:r>
        <w:t>kopiju.</w:t>
      </w:r>
    </w:p>
    <w:p w:rsidR="00BB44D4" w:rsidRDefault="00B04873" w:rsidP="00B04873">
      <w:pPr>
        <w:pStyle w:val="Sarakstarindkopa"/>
        <w:numPr>
          <w:ilvl w:val="1"/>
          <w:numId w:val="1"/>
        </w:numPr>
        <w:tabs>
          <w:tab w:val="left" w:pos="993"/>
        </w:tabs>
        <w:spacing w:before="60" w:after="60"/>
        <w:jc w:val="both"/>
      </w:pPr>
      <w:r>
        <w:t>Ja pretendents paredzējis piesaistīt apakšuzņēmēju, tad p</w:t>
      </w:r>
      <w:r w:rsidR="00BB44D4">
        <w:t>retendent</w:t>
      </w:r>
      <w:r>
        <w:t xml:space="preserve">s iesniedz </w:t>
      </w:r>
      <w:r w:rsidR="00BB44D4">
        <w:t>piesaistīto apakšuzņēmēju sarakst</w:t>
      </w:r>
      <w:r>
        <w:t>u</w:t>
      </w:r>
      <w:r w:rsidR="00BB44D4" w:rsidRPr="00B04873">
        <w:rPr>
          <w:kern w:val="16"/>
        </w:rPr>
        <w:t xml:space="preserve"> (veidn</w:t>
      </w:r>
      <w:r w:rsidRPr="00B04873">
        <w:rPr>
          <w:kern w:val="16"/>
        </w:rPr>
        <w:t>i</w:t>
      </w:r>
      <w:r w:rsidR="00BB44D4" w:rsidRPr="00B04873">
        <w:rPr>
          <w:kern w:val="16"/>
        </w:rPr>
        <w:t xml:space="preserve">) </w:t>
      </w:r>
      <w:r w:rsidR="00BB44D4">
        <w:t>(</w:t>
      </w:r>
      <w:r w:rsidR="00BB44D4" w:rsidRPr="00F469ED">
        <w:t xml:space="preserve">noteikumu </w:t>
      </w:r>
      <w:r w:rsidR="00D33F97">
        <w:t>4</w:t>
      </w:r>
      <w:r w:rsidR="00BB44D4" w:rsidRPr="00F469ED">
        <w:t>.pielikums</w:t>
      </w:r>
      <w:r w:rsidR="00BB44D4">
        <w:t xml:space="preserve">), norādot katram apakšuzņēmējam izpildei nododamo līguma daļu saskaņā ar tehnisko specifikāciju vai tāmi un pievienojot finanšu aprēķinus, kas norāda līgumā nododamo daļu procentuāli vērtību. </w:t>
      </w:r>
    </w:p>
    <w:p w:rsidR="00F469ED" w:rsidRDefault="00F469ED" w:rsidP="00F469ED">
      <w:pPr>
        <w:pStyle w:val="Sarakstarindkopa"/>
        <w:numPr>
          <w:ilvl w:val="0"/>
          <w:numId w:val="1"/>
        </w:numPr>
        <w:tabs>
          <w:tab w:val="left" w:pos="993"/>
        </w:tabs>
        <w:spacing w:before="60" w:after="60"/>
        <w:jc w:val="both"/>
        <w:rPr>
          <w:b/>
        </w:rPr>
      </w:pPr>
      <w:r w:rsidRPr="00F469ED">
        <w:rPr>
          <w:b/>
        </w:rPr>
        <w:t>Tehniskais piedāvājums</w:t>
      </w:r>
    </w:p>
    <w:p w:rsidR="00F469ED" w:rsidRDefault="00881F79" w:rsidP="00D60939">
      <w:pPr>
        <w:pStyle w:val="Sarakstarindkopa"/>
        <w:numPr>
          <w:ilvl w:val="1"/>
          <w:numId w:val="1"/>
        </w:numPr>
        <w:tabs>
          <w:tab w:val="left" w:pos="993"/>
        </w:tabs>
        <w:spacing w:before="60" w:after="60"/>
        <w:jc w:val="both"/>
      </w:pPr>
      <w:r w:rsidRPr="00DD2D59">
        <w:t>Pretendents tehnisk</w:t>
      </w:r>
      <w:r>
        <w:t>o</w:t>
      </w:r>
      <w:r w:rsidRPr="00DD2D59">
        <w:t xml:space="preserve"> piedāvājum</w:t>
      </w:r>
      <w:r>
        <w:t>u</w:t>
      </w:r>
      <w:r w:rsidRPr="00DD2D59">
        <w:t xml:space="preserve"> (</w:t>
      </w:r>
      <w:r>
        <w:t xml:space="preserve">atbilstošu </w:t>
      </w:r>
      <w:r w:rsidRPr="006D1F65">
        <w:t>noteikumu</w:t>
      </w:r>
      <w:r>
        <w:t xml:space="preserve"> </w:t>
      </w:r>
      <w:r w:rsidR="00D33F97">
        <w:t>5</w:t>
      </w:r>
      <w:r w:rsidRPr="00142E81">
        <w:t>.pielikumam</w:t>
      </w:r>
      <w:r w:rsidRPr="00DD2D59">
        <w:t xml:space="preserve">) sagatavo brīvā formā atbilstoši noteikumu nosacījumiem un iepirkuma tehniskās specifikācijas prasībām (noteikumu </w:t>
      </w:r>
      <w:r w:rsidRPr="00327864">
        <w:t>1.pielikums</w:t>
      </w:r>
      <w:r w:rsidRPr="00142E81">
        <w:t>)</w:t>
      </w:r>
      <w:r>
        <w:t>.</w:t>
      </w:r>
    </w:p>
    <w:p w:rsidR="00881F79" w:rsidRPr="00D60939" w:rsidRDefault="00881F79" w:rsidP="00D60939">
      <w:pPr>
        <w:pStyle w:val="Sarakstarindkopa"/>
        <w:numPr>
          <w:ilvl w:val="1"/>
          <w:numId w:val="1"/>
        </w:numPr>
        <w:tabs>
          <w:tab w:val="left" w:pos="993"/>
        </w:tabs>
        <w:spacing w:before="60" w:after="60"/>
        <w:jc w:val="both"/>
      </w:pPr>
      <w:r w:rsidRPr="00DD2D59">
        <w:t>Tehniskais piedāvājums jāsagatavo tā, lai iepirkuma komisijai būtu iespējams pārliecināties par pretendenta tehniskās specifikācijas prasību izpildi nepārprotamā veidā</w:t>
      </w:r>
      <w:r>
        <w:t>.</w:t>
      </w:r>
    </w:p>
    <w:p w:rsidR="00BB44D4" w:rsidRDefault="00BB44D4" w:rsidP="00F469ED">
      <w:pPr>
        <w:pStyle w:val="Sarakstarindkopa"/>
        <w:numPr>
          <w:ilvl w:val="0"/>
          <w:numId w:val="1"/>
        </w:numPr>
        <w:tabs>
          <w:tab w:val="left" w:pos="993"/>
        </w:tabs>
        <w:spacing w:before="60" w:after="60"/>
        <w:jc w:val="both"/>
        <w:rPr>
          <w:b/>
        </w:rPr>
      </w:pPr>
      <w:r w:rsidRPr="00F469ED">
        <w:rPr>
          <w:b/>
        </w:rPr>
        <w:t>Finanšu piedāvājums</w:t>
      </w:r>
    </w:p>
    <w:p w:rsidR="00BB44D4" w:rsidRPr="00587980" w:rsidRDefault="00BB44D4" w:rsidP="00D60939">
      <w:pPr>
        <w:pStyle w:val="Sarakstarindkopa"/>
        <w:numPr>
          <w:ilvl w:val="1"/>
          <w:numId w:val="1"/>
        </w:numPr>
        <w:tabs>
          <w:tab w:val="left" w:pos="993"/>
        </w:tabs>
        <w:spacing w:before="60" w:after="60"/>
        <w:jc w:val="both"/>
        <w:rPr>
          <w:b/>
        </w:rPr>
      </w:pPr>
      <w:r>
        <w:t xml:space="preserve">Finanšu piedāvājumu sagatavo atbilstoši noteikumiem pievienotajai finanšu piedāvājuma veidnei (noteikumu </w:t>
      </w:r>
      <w:r w:rsidR="00D33F97">
        <w:t>6</w:t>
      </w:r>
      <w:r>
        <w:t>.pielikums).</w:t>
      </w:r>
    </w:p>
    <w:p w:rsidR="00BB44D4" w:rsidRPr="00AC04B6" w:rsidRDefault="00BB44D4" w:rsidP="00587980">
      <w:pPr>
        <w:pStyle w:val="Sarakstarindkopa"/>
        <w:numPr>
          <w:ilvl w:val="1"/>
          <w:numId w:val="1"/>
        </w:numPr>
        <w:tabs>
          <w:tab w:val="left" w:pos="993"/>
        </w:tabs>
        <w:spacing w:before="60" w:after="60"/>
        <w:jc w:val="both"/>
        <w:rPr>
          <w:b/>
        </w:rPr>
      </w:pPr>
      <w:r>
        <w:t>Finanšu piedāvājumā pretendentam jāietver visi izdevumi un izmaksas, kas rodas pretendentam, lai pilnīgi un pienācīgā kvalitātē sniegtu tehniskajā specifikācijā minēto pakalpojumu. Pasūtītājs nemaksās nekādus pretendenta papildus izdevumus, kas nebūs iekļauti finanšu piedāvājumā.</w:t>
      </w:r>
    </w:p>
    <w:p w:rsidR="00BB44D4" w:rsidRPr="00AC04B6" w:rsidRDefault="00BB44D4" w:rsidP="00AC04B6">
      <w:pPr>
        <w:pStyle w:val="Sarakstarindkopa"/>
        <w:numPr>
          <w:ilvl w:val="1"/>
          <w:numId w:val="1"/>
        </w:numPr>
        <w:tabs>
          <w:tab w:val="left" w:pos="993"/>
        </w:tabs>
        <w:spacing w:before="60" w:after="60"/>
        <w:jc w:val="both"/>
        <w:rPr>
          <w:b/>
        </w:rPr>
      </w:pPr>
      <w:r>
        <w:t xml:space="preserve">Finanšu piedāvājumā visas cenas norāda </w:t>
      </w:r>
      <w:proofErr w:type="spellStart"/>
      <w:r w:rsidRPr="00AC04B6">
        <w:rPr>
          <w:i/>
        </w:rPr>
        <w:t>euro</w:t>
      </w:r>
      <w:proofErr w:type="spellEnd"/>
      <w:r>
        <w:t xml:space="preserve"> (EUR) bez pievienotās vērtības nodokļa.</w:t>
      </w:r>
    </w:p>
    <w:p w:rsidR="00BB44D4" w:rsidRPr="00AC04B6" w:rsidRDefault="00BB44D4" w:rsidP="00AC04B6">
      <w:pPr>
        <w:pStyle w:val="Sarakstarindkopa"/>
        <w:numPr>
          <w:ilvl w:val="1"/>
          <w:numId w:val="1"/>
        </w:numPr>
        <w:tabs>
          <w:tab w:val="left" w:pos="993"/>
        </w:tabs>
        <w:spacing w:before="60" w:after="60"/>
        <w:jc w:val="both"/>
        <w:rPr>
          <w:b/>
        </w:rPr>
      </w:pPr>
      <w:r>
        <w:lastRenderedPageBreak/>
        <w:t>Pretendents nedrīkst iesniegt Finanšu piedāvājuma variantus.</w:t>
      </w:r>
    </w:p>
    <w:p w:rsidR="00BB44D4" w:rsidRDefault="00BB44D4" w:rsidP="00BB44D4">
      <w:pPr>
        <w:pStyle w:val="Sarakstarindkopa2"/>
        <w:spacing w:before="240" w:after="240"/>
        <w:jc w:val="center"/>
        <w:rPr>
          <w:b/>
          <w:kern w:val="16"/>
        </w:rPr>
      </w:pPr>
      <w:bookmarkStart w:id="10" w:name="_Toc59334737"/>
      <w:bookmarkStart w:id="11" w:name="_Toc61422143"/>
      <w:r>
        <w:rPr>
          <w:b/>
          <w:kern w:val="16"/>
        </w:rPr>
        <w:t xml:space="preserve">V </w:t>
      </w:r>
      <w:r>
        <w:rPr>
          <w:b/>
          <w:bCs/>
        </w:rPr>
        <w:t>Piedāvājuma vērtēšana</w:t>
      </w:r>
      <w:bookmarkStart w:id="12" w:name="_Toc268002895"/>
      <w:r>
        <w:rPr>
          <w:b/>
          <w:bCs/>
        </w:rPr>
        <w:t xml:space="preserve"> un izvēles kritēriji</w:t>
      </w:r>
      <w:bookmarkEnd w:id="12"/>
    </w:p>
    <w:p w:rsidR="00BB44D4" w:rsidRDefault="00587980" w:rsidP="00BB44D4">
      <w:pPr>
        <w:tabs>
          <w:tab w:val="left" w:pos="240"/>
        </w:tabs>
        <w:spacing w:before="120" w:after="120"/>
        <w:jc w:val="both"/>
        <w:rPr>
          <w:kern w:val="16"/>
        </w:rPr>
      </w:pPr>
      <w:r w:rsidRPr="00587980">
        <w:rPr>
          <w:kern w:val="16"/>
        </w:rPr>
        <w:t>2</w:t>
      </w:r>
      <w:r w:rsidR="00A52ED6">
        <w:rPr>
          <w:kern w:val="16"/>
        </w:rPr>
        <w:t>5</w:t>
      </w:r>
      <w:r w:rsidRPr="00587980">
        <w:rPr>
          <w:kern w:val="16"/>
        </w:rPr>
        <w:t>.</w:t>
      </w:r>
      <w:r w:rsidR="00AC04B6">
        <w:rPr>
          <w:kern w:val="16"/>
        </w:rPr>
        <w:t xml:space="preserve"> </w:t>
      </w:r>
      <w:r w:rsidR="00BB44D4">
        <w:rPr>
          <w:kern w:val="16"/>
        </w:rPr>
        <w:t xml:space="preserve">Pēc piedāvājuma iesniegšanas termiņa beigām iepirkuma komisija izvērtē iesniegtos piedāvājumus atbilstoši noteikumu prasībām un kritērijiem. </w:t>
      </w:r>
    </w:p>
    <w:p w:rsidR="00BB44D4" w:rsidRDefault="00AC04B6" w:rsidP="00BB44D4">
      <w:pPr>
        <w:tabs>
          <w:tab w:val="left" w:pos="240"/>
        </w:tabs>
        <w:spacing w:before="120" w:after="120"/>
        <w:jc w:val="both"/>
        <w:rPr>
          <w:kern w:val="16"/>
        </w:rPr>
      </w:pPr>
      <w:r>
        <w:t>2</w:t>
      </w:r>
      <w:r w:rsidR="00A52ED6">
        <w:t>6</w:t>
      </w:r>
      <w:r w:rsidR="00BB44D4">
        <w:t>. Pretendents, kura iesniegtie dokumenti neatbildīs noteikumu un iepirkuma tehniskās specifikācijas prasībām, no tālākas vērtēšanas tiks izslēgti.</w:t>
      </w:r>
    </w:p>
    <w:p w:rsidR="00BB44D4" w:rsidRDefault="00A52ED6" w:rsidP="00BB44D4">
      <w:pPr>
        <w:tabs>
          <w:tab w:val="left" w:pos="240"/>
        </w:tabs>
        <w:spacing w:before="120" w:after="120"/>
        <w:jc w:val="both"/>
        <w:rPr>
          <w:kern w:val="16"/>
        </w:rPr>
      </w:pPr>
      <w:r>
        <w:t>27</w:t>
      </w:r>
      <w:r w:rsidR="00BB44D4">
        <w:t>. Pirms pretendenta izslēgšanas no turpmākās dalības iepirkuma procedūrā, iepirkuma komisija izvērtē pretendenta iesniegto dokumenta/u trūkuma būtiskumu un to ietekmi uz iespēju izvērtēt pretendenta atbilstību kvalifikācijas prasībām un iesniegto piedāvājumu pēc būtības.</w:t>
      </w:r>
    </w:p>
    <w:p w:rsidR="00BB44D4" w:rsidRDefault="00A52ED6" w:rsidP="00BB44D4">
      <w:pPr>
        <w:tabs>
          <w:tab w:val="left" w:pos="240"/>
        </w:tabs>
        <w:spacing w:before="120" w:after="120"/>
        <w:jc w:val="both"/>
        <w:rPr>
          <w:kern w:val="16"/>
        </w:rPr>
      </w:pPr>
      <w:r>
        <w:t>28</w:t>
      </w:r>
      <w:r w:rsidR="00BB44D4">
        <w:t>. Ja pretendents nav iesniedzis visus noteikumos prasītos dokumentus vai tajos sniegtās informācijas saturs vai forma neatbilst iepirkuma noteikumu prasībām, iepirkuma komisija pretendentu no tālākas līdzdalības iepirkuma procedūrā izslēdz.</w:t>
      </w:r>
    </w:p>
    <w:p w:rsidR="00BB44D4" w:rsidRDefault="00A52ED6" w:rsidP="00BB44D4">
      <w:pPr>
        <w:tabs>
          <w:tab w:val="left" w:pos="240"/>
        </w:tabs>
        <w:spacing w:before="120" w:after="120"/>
        <w:jc w:val="both"/>
        <w:rPr>
          <w:kern w:val="16"/>
        </w:rPr>
      </w:pPr>
      <w:r>
        <w:t>29</w:t>
      </w:r>
      <w:r w:rsidR="00BB44D4">
        <w:t>. Iepirkuma komisija katrā vērtēšanas posmā vērtē tikai to pretendentu piedāvājumus, kuri nav noraidīti iepriekšējā vērtēšanas posmā.</w:t>
      </w:r>
    </w:p>
    <w:p w:rsidR="00BB78C4" w:rsidRDefault="00A52ED6" w:rsidP="00BB44D4">
      <w:pPr>
        <w:tabs>
          <w:tab w:val="left" w:pos="240"/>
        </w:tabs>
        <w:spacing w:before="120" w:after="120"/>
        <w:jc w:val="both"/>
      </w:pPr>
      <w:r>
        <w:t>30</w:t>
      </w:r>
      <w:r w:rsidR="00BB44D4">
        <w:t xml:space="preserve">. Piedāvājumu vērtēšanu iepirkuma komisija veic </w:t>
      </w:r>
      <w:r w:rsidR="00AC04B6">
        <w:t>4</w:t>
      </w:r>
      <w:r w:rsidR="00305EB9">
        <w:t xml:space="preserve"> (</w:t>
      </w:r>
      <w:r w:rsidR="00AC04B6">
        <w:t>četros</w:t>
      </w:r>
      <w:r w:rsidR="00BB44D4">
        <w:t xml:space="preserve">) posmos. </w:t>
      </w:r>
    </w:p>
    <w:p w:rsidR="00BB44D4" w:rsidRDefault="00BB78C4" w:rsidP="00BB44D4">
      <w:pPr>
        <w:tabs>
          <w:tab w:val="left" w:pos="240"/>
        </w:tabs>
        <w:spacing w:before="120" w:after="120"/>
        <w:jc w:val="both"/>
        <w:rPr>
          <w:kern w:val="16"/>
        </w:rPr>
      </w:pPr>
      <w:r>
        <w:t>3</w:t>
      </w:r>
      <w:r w:rsidR="00A52ED6">
        <w:t>1</w:t>
      </w:r>
      <w:r>
        <w:t xml:space="preserve">. </w:t>
      </w:r>
      <w:r w:rsidR="00BB44D4">
        <w:t>Piedāvājumu izvērtēšanas posmi:</w:t>
      </w:r>
    </w:p>
    <w:p w:rsidR="00BB44D4" w:rsidRDefault="00BB44D4" w:rsidP="00BB44D4">
      <w:pPr>
        <w:tabs>
          <w:tab w:val="left" w:pos="993"/>
        </w:tabs>
        <w:spacing w:before="60" w:after="60"/>
        <w:jc w:val="both"/>
      </w:pPr>
      <w:r>
        <w:rPr>
          <w:b/>
        </w:rPr>
        <w:t>3</w:t>
      </w:r>
      <w:r w:rsidR="00A52ED6">
        <w:rPr>
          <w:b/>
        </w:rPr>
        <w:t>1</w:t>
      </w:r>
      <w:r>
        <w:rPr>
          <w:b/>
        </w:rPr>
        <w:t>.1. 1. posms</w:t>
      </w:r>
      <w:r>
        <w:t xml:space="preserve"> – Piedāvājumu noformējuma pārbaude</w:t>
      </w:r>
    </w:p>
    <w:p w:rsidR="00BB44D4" w:rsidRDefault="00BB44D4" w:rsidP="00BB44D4">
      <w:pPr>
        <w:tabs>
          <w:tab w:val="left" w:pos="993"/>
        </w:tabs>
        <w:spacing w:before="60" w:after="60"/>
        <w:jc w:val="both"/>
      </w:pPr>
      <w:r>
        <w:t xml:space="preserve">Iepirkuma komisija pārbauda, vai piedāvājums sagatavots un </w:t>
      </w:r>
      <w:proofErr w:type="gramStart"/>
      <w:r>
        <w:t>noformēts atbilstoši noteikumu 8</w:t>
      </w:r>
      <w:proofErr w:type="gramEnd"/>
      <w:r>
        <w:t>., 9., 10., 11., 12., 13., 14. un 15. punktā norādītajām prasībām.</w:t>
      </w:r>
    </w:p>
    <w:p w:rsidR="00BB44D4" w:rsidRDefault="00BB44D4" w:rsidP="00BB44D4">
      <w:pPr>
        <w:tabs>
          <w:tab w:val="left" w:pos="993"/>
        </w:tabs>
        <w:spacing w:before="60" w:after="60"/>
        <w:jc w:val="both"/>
      </w:pPr>
      <w:r>
        <w:rPr>
          <w:b/>
        </w:rPr>
        <w:t>3</w:t>
      </w:r>
      <w:r w:rsidR="00A52ED6">
        <w:rPr>
          <w:b/>
        </w:rPr>
        <w:t>1</w:t>
      </w:r>
      <w:r>
        <w:rPr>
          <w:b/>
        </w:rPr>
        <w:t>.2. 2. posms</w:t>
      </w:r>
      <w:r>
        <w:t xml:space="preserve"> – Pretendentu atlase </w:t>
      </w:r>
    </w:p>
    <w:p w:rsidR="00BB44D4" w:rsidRDefault="00BB44D4" w:rsidP="00BB44D4">
      <w:pPr>
        <w:tabs>
          <w:tab w:val="left" w:pos="993"/>
        </w:tabs>
        <w:spacing w:before="60" w:after="60"/>
        <w:jc w:val="both"/>
      </w:pPr>
      <w:r>
        <w:t xml:space="preserve">Iepirkuma komisija novērtē, vai iesniegtie pretendentu atlases dokumenti apliecina pretendenta atbilstību noteikumu III sadaļā „Nosacījumi pretendenta dalībai iepirkumā” un </w:t>
      </w:r>
      <w:r w:rsidR="00AC04B6" w:rsidRPr="00A52ED6">
        <w:t>2</w:t>
      </w:r>
      <w:r w:rsidR="00A52ED6" w:rsidRPr="00A52ED6">
        <w:t>2</w:t>
      </w:r>
      <w:r w:rsidRPr="00A52ED6">
        <w:t xml:space="preserve">.punktā </w:t>
      </w:r>
      <w:r>
        <w:t xml:space="preserve">norādītajām kvalifikācijas prasībām. </w:t>
      </w:r>
    </w:p>
    <w:p w:rsidR="00AC04B6" w:rsidRPr="00DD2D59" w:rsidRDefault="00AC04B6" w:rsidP="00AC04B6">
      <w:pPr>
        <w:tabs>
          <w:tab w:val="left" w:pos="993"/>
        </w:tabs>
        <w:spacing w:before="60" w:after="60"/>
        <w:jc w:val="both"/>
      </w:pPr>
      <w:r>
        <w:rPr>
          <w:b/>
        </w:rPr>
        <w:t>3</w:t>
      </w:r>
      <w:r w:rsidR="00A52ED6">
        <w:rPr>
          <w:b/>
        </w:rPr>
        <w:t>1</w:t>
      </w:r>
      <w:r>
        <w:rPr>
          <w:b/>
        </w:rPr>
        <w:t>.3. 3. </w:t>
      </w:r>
      <w:r w:rsidRPr="006D1F65">
        <w:rPr>
          <w:b/>
        </w:rPr>
        <w:t>posms</w:t>
      </w:r>
      <w:r w:rsidRPr="006D1F65">
        <w:t xml:space="preserve"> – Tehnisko piedāvājumu atbilstības pārbaude</w:t>
      </w:r>
      <w:r>
        <w:t>.</w:t>
      </w:r>
    </w:p>
    <w:p w:rsidR="00AC04B6" w:rsidRDefault="00AC04B6" w:rsidP="00BB44D4">
      <w:pPr>
        <w:tabs>
          <w:tab w:val="left" w:pos="993"/>
        </w:tabs>
        <w:spacing w:before="60" w:after="60"/>
        <w:jc w:val="both"/>
      </w:pPr>
      <w:r w:rsidRPr="00DD2D59">
        <w:t xml:space="preserve">Iepirkuma komisija novērtē, vai tehniskais piedāvājums atbilst noteikumu </w:t>
      </w:r>
      <w:r w:rsidRPr="00A52ED6">
        <w:t>2</w:t>
      </w:r>
      <w:r w:rsidR="00A52ED6" w:rsidRPr="00A52ED6">
        <w:t>3</w:t>
      </w:r>
      <w:r w:rsidRPr="00A52ED6">
        <w:t xml:space="preserve">. punktā </w:t>
      </w:r>
      <w:r w:rsidRPr="00DD2D59">
        <w:t xml:space="preserve">un noteikumu </w:t>
      </w:r>
      <w:r w:rsidRPr="001A1960">
        <w:t>1.pielikumā (tehniskā specifikācija)</w:t>
      </w:r>
      <w:r w:rsidRPr="00DD2D59">
        <w:t xml:space="preserve"> norādītajām prasībām. </w:t>
      </w:r>
    </w:p>
    <w:p w:rsidR="00BB44D4" w:rsidRDefault="00BB44D4" w:rsidP="00BB44D4">
      <w:pPr>
        <w:tabs>
          <w:tab w:val="left" w:pos="993"/>
        </w:tabs>
        <w:spacing w:before="60" w:after="60"/>
        <w:jc w:val="both"/>
      </w:pPr>
      <w:r>
        <w:rPr>
          <w:b/>
        </w:rPr>
        <w:t>3</w:t>
      </w:r>
      <w:r w:rsidR="00A52ED6">
        <w:rPr>
          <w:b/>
        </w:rPr>
        <w:t>1</w:t>
      </w:r>
      <w:r>
        <w:rPr>
          <w:b/>
        </w:rPr>
        <w:t>.</w:t>
      </w:r>
      <w:r w:rsidR="00AC04B6">
        <w:rPr>
          <w:b/>
        </w:rPr>
        <w:t>4</w:t>
      </w:r>
      <w:r>
        <w:rPr>
          <w:b/>
        </w:rPr>
        <w:t xml:space="preserve">. </w:t>
      </w:r>
      <w:r w:rsidR="00AC04B6">
        <w:rPr>
          <w:b/>
        </w:rPr>
        <w:t>4</w:t>
      </w:r>
      <w:r>
        <w:rPr>
          <w:b/>
        </w:rPr>
        <w:t>. posms</w:t>
      </w:r>
      <w:r>
        <w:t xml:space="preserve"> –</w:t>
      </w:r>
      <w:r w:rsidR="00305EB9">
        <w:t xml:space="preserve"> </w:t>
      </w:r>
      <w:r>
        <w:t>Finanšu piedāvājumu vērtēšana:</w:t>
      </w:r>
    </w:p>
    <w:p w:rsidR="00BB44D4" w:rsidRDefault="00BB44D4" w:rsidP="00BB44D4">
      <w:pPr>
        <w:tabs>
          <w:tab w:val="left" w:pos="993"/>
        </w:tabs>
        <w:spacing w:before="60" w:after="60"/>
        <w:jc w:val="both"/>
      </w:pPr>
      <w:r>
        <w:t>3</w:t>
      </w:r>
      <w:r w:rsidR="00A52ED6">
        <w:t>1</w:t>
      </w:r>
      <w:r>
        <w:t>.</w:t>
      </w:r>
      <w:r w:rsidR="00A52ED6">
        <w:t>4</w:t>
      </w:r>
      <w:r>
        <w:t xml:space="preserve">.1. Iepirkuma komisija izvērtē, vai Pretendenta iesniegtais finanšu piedāvājums atbilst iepirkuma noteikumu </w:t>
      </w:r>
      <w:r w:rsidR="00AC04B6" w:rsidRPr="00A52ED6">
        <w:t>2</w:t>
      </w:r>
      <w:r w:rsidR="00A52ED6" w:rsidRPr="00A52ED6">
        <w:t>4</w:t>
      </w:r>
      <w:r w:rsidRPr="00A52ED6">
        <w:t xml:space="preserve">.punktā </w:t>
      </w:r>
      <w:r>
        <w:t>noteiktajām prasībām, un pārbauda, vai finanšu piedāvājumā nav aritmētisko kļūdu (noteikumu VI sadaļa „Aritmētisko kļūdu labošana un nepamatoti lēta piedāvājuma noteikšana”);</w:t>
      </w:r>
    </w:p>
    <w:p w:rsidR="00BB44D4" w:rsidRDefault="00BB44D4" w:rsidP="00BB44D4">
      <w:pPr>
        <w:tabs>
          <w:tab w:val="left" w:pos="993"/>
        </w:tabs>
        <w:spacing w:before="60" w:after="60"/>
        <w:jc w:val="both"/>
      </w:pPr>
      <w:r>
        <w:t>3</w:t>
      </w:r>
      <w:r w:rsidR="00A52ED6">
        <w:t>1</w:t>
      </w:r>
      <w:r>
        <w:t>.</w:t>
      </w:r>
      <w:r w:rsidR="00A52ED6">
        <w:t>4</w:t>
      </w:r>
      <w:r>
        <w:t>.2.</w:t>
      </w:r>
      <w:r>
        <w:tab/>
        <w:t>Iepirkuma komisija pārbauda, vai piedāvājums nav nepamatoti lēts (noteikumu VI sadaļa „Aritmētisko kļūdu labošana un nepamatoti lēta piedāvājuma noteikšana”);</w:t>
      </w:r>
    </w:p>
    <w:p w:rsidR="00BB44D4" w:rsidRDefault="00BB44D4" w:rsidP="00BB44D4">
      <w:pPr>
        <w:tabs>
          <w:tab w:val="left" w:pos="993"/>
        </w:tabs>
        <w:spacing w:before="60" w:after="60"/>
        <w:jc w:val="both"/>
      </w:pPr>
      <w:r>
        <w:t>3</w:t>
      </w:r>
      <w:r w:rsidR="00A52ED6">
        <w:t>1</w:t>
      </w:r>
      <w:r>
        <w:t>.</w:t>
      </w:r>
      <w:r w:rsidR="00A52ED6">
        <w:t>4</w:t>
      </w:r>
      <w:r>
        <w:t>.3.</w:t>
      </w:r>
      <w:r>
        <w:tab/>
        <w:t xml:space="preserve">Iepirkuma komisija no visiem iepriekšējo izvērtēšanas posmu prasībām atbilstošajiem piedāvājumiem </w:t>
      </w:r>
      <w:r>
        <w:rPr>
          <w:b/>
          <w:u w:val="single"/>
        </w:rPr>
        <w:t>izvēlas piedāvājumu ar viszemāko piedāvāto līgumcenu.</w:t>
      </w:r>
    </w:p>
    <w:p w:rsidR="00BB44D4" w:rsidRDefault="00AC04B6" w:rsidP="00BB44D4">
      <w:pPr>
        <w:tabs>
          <w:tab w:val="left" w:pos="240"/>
        </w:tabs>
        <w:spacing w:before="120" w:after="120"/>
        <w:jc w:val="both"/>
        <w:rPr>
          <w:kern w:val="16"/>
        </w:rPr>
      </w:pPr>
      <w:r>
        <w:rPr>
          <w:bCs/>
        </w:rPr>
        <w:t>3</w:t>
      </w:r>
      <w:r w:rsidR="00A52ED6">
        <w:rPr>
          <w:bCs/>
        </w:rPr>
        <w:t>2</w:t>
      </w:r>
      <w:r w:rsidR="00BB44D4">
        <w:rPr>
          <w:bCs/>
        </w:rPr>
        <w:t>. Iepirkuma komisija par iepirkuma uzvarētāju atzīs pretendentu, kura iesniegtais piedāvājums ir atbilstošs noteikumu un iepirkuma tehniskās specifikācijas prasībām ar viszemāko cenu.</w:t>
      </w:r>
    </w:p>
    <w:p w:rsidR="00BB44D4" w:rsidRDefault="00BB44D4" w:rsidP="00BB44D4">
      <w:pPr>
        <w:pStyle w:val="Virsraksts1"/>
        <w:rPr>
          <w:b/>
          <w:bCs/>
        </w:rPr>
      </w:pPr>
      <w:bookmarkStart w:id="13" w:name="_Toc268002896"/>
      <w:r>
        <w:rPr>
          <w:b/>
          <w:bCs/>
        </w:rPr>
        <w:lastRenderedPageBreak/>
        <w:t>VI Aritmētisko kļūdu labošana un nepamatoti lēta piedāvājuma noteikšana</w:t>
      </w:r>
      <w:bookmarkEnd w:id="13"/>
    </w:p>
    <w:p w:rsidR="00BB44D4" w:rsidRDefault="008D5144" w:rsidP="00BB44D4">
      <w:pPr>
        <w:tabs>
          <w:tab w:val="left" w:pos="0"/>
        </w:tabs>
        <w:spacing w:before="120" w:after="120"/>
        <w:jc w:val="both"/>
        <w:rPr>
          <w:kern w:val="16"/>
        </w:rPr>
      </w:pPr>
      <w:bookmarkStart w:id="14" w:name="_Toc247075091"/>
      <w:bookmarkStart w:id="15" w:name="_Toc226887387"/>
      <w:bookmarkStart w:id="16" w:name="_Toc226779283"/>
      <w:bookmarkStart w:id="17" w:name="_Toc226778868"/>
      <w:bookmarkStart w:id="18" w:name="_Toc226776751"/>
      <w:bookmarkStart w:id="19" w:name="_Toc226510836"/>
      <w:bookmarkStart w:id="20" w:name="_Toc226510461"/>
      <w:bookmarkStart w:id="21" w:name="_Toc226171347"/>
      <w:bookmarkStart w:id="22" w:name="_Toc225055887"/>
      <w:bookmarkStart w:id="23" w:name="_Toc216845703"/>
      <w:bookmarkStart w:id="24" w:name="_Toc216756141"/>
      <w:bookmarkStart w:id="25" w:name="_Toc215115325"/>
      <w:bookmarkStart w:id="26" w:name="_Toc203191575"/>
      <w:bookmarkStart w:id="27" w:name="_Toc195691932"/>
      <w:bookmarkStart w:id="28" w:name="_Toc195691550"/>
      <w:bookmarkStart w:id="29" w:name="_Toc195691027"/>
      <w:bookmarkStart w:id="30" w:name="_Toc194991931"/>
      <w:bookmarkStart w:id="31" w:name="_Toc194991724"/>
      <w:bookmarkStart w:id="32" w:name="_Toc194393226"/>
      <w:bookmarkStart w:id="33" w:name="_Toc191715066"/>
      <w:bookmarkStart w:id="34" w:name="_Toc189899846"/>
      <w:bookmarkStart w:id="35" w:name="_Toc189464913"/>
      <w:bookmarkStart w:id="36" w:name="_Toc189460870"/>
      <w:bookmarkStart w:id="37" w:name="_Toc188938564"/>
      <w:bookmarkStart w:id="38" w:name="_Toc188938142"/>
      <w:bookmarkStart w:id="39" w:name="_Toc188850804"/>
      <w:bookmarkStart w:id="40" w:name="_Toc182379765"/>
      <w:bookmarkStart w:id="41" w:name="_Toc182286559"/>
      <w:bookmarkStart w:id="42" w:name="_Toc182286275"/>
      <w:bookmarkStart w:id="43" w:name="_Toc182285740"/>
      <w:r>
        <w:t>3</w:t>
      </w:r>
      <w:r w:rsidR="00A52ED6">
        <w:t>3</w:t>
      </w:r>
      <w:r w:rsidR="00BB44D4">
        <w:t>. Piedāvājumu vērtēšanas laikā iepirkuma komisija</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B44D4">
        <w:t xml:space="preserve"> pārbauda, vai nav aritmētisko kļūdu un rīkojas saskaņā ar Publisko iepirkumu likuma </w:t>
      </w:r>
      <w:proofErr w:type="gramStart"/>
      <w:r w:rsidR="00BB44D4">
        <w:t>56.panta</w:t>
      </w:r>
      <w:proofErr w:type="gramEnd"/>
      <w:r w:rsidR="00BB44D4">
        <w:t xml:space="preserve"> trešo daļu.</w:t>
      </w:r>
    </w:p>
    <w:p w:rsidR="00BB44D4" w:rsidRDefault="008D5144" w:rsidP="00BB44D4">
      <w:pPr>
        <w:tabs>
          <w:tab w:val="left" w:pos="0"/>
        </w:tabs>
        <w:spacing w:before="120" w:after="120"/>
        <w:jc w:val="both"/>
        <w:rPr>
          <w:kern w:val="16"/>
        </w:rPr>
      </w:pPr>
      <w:r>
        <w:t>3</w:t>
      </w:r>
      <w:r w:rsidR="00A52ED6">
        <w:t>4</w:t>
      </w:r>
      <w:r w:rsidR="004F3899">
        <w:t>. Ja</w:t>
      </w:r>
      <w:r w:rsidR="00BB44D4">
        <w:t xml:space="preserve"> iepirkuma komisija finanšu piedāvājumā konstatē aritmētiskās kļūdas, tā šīs kļūdas izlabo.</w:t>
      </w:r>
    </w:p>
    <w:p w:rsidR="00BB44D4" w:rsidRDefault="008D5144" w:rsidP="00BB44D4">
      <w:pPr>
        <w:tabs>
          <w:tab w:val="left" w:pos="0"/>
        </w:tabs>
        <w:spacing w:before="120" w:after="120"/>
        <w:jc w:val="both"/>
        <w:rPr>
          <w:kern w:val="16"/>
        </w:rPr>
      </w:pPr>
      <w:bookmarkStart w:id="44" w:name="_Toc247075094"/>
      <w:bookmarkStart w:id="45" w:name="_Toc226887390"/>
      <w:bookmarkStart w:id="46" w:name="_Toc226779286"/>
      <w:bookmarkStart w:id="47" w:name="_Toc226778871"/>
      <w:bookmarkStart w:id="48" w:name="_Toc226776754"/>
      <w:bookmarkStart w:id="49" w:name="_Toc226510839"/>
      <w:bookmarkStart w:id="50" w:name="_Toc226510464"/>
      <w:bookmarkStart w:id="51" w:name="_Toc226171350"/>
      <w:bookmarkStart w:id="52" w:name="_Toc225055890"/>
      <w:bookmarkStart w:id="53" w:name="_Toc216845706"/>
      <w:bookmarkStart w:id="54" w:name="_Toc216756144"/>
      <w:bookmarkStart w:id="55" w:name="_Toc215115328"/>
      <w:bookmarkStart w:id="56" w:name="_Toc203191578"/>
      <w:bookmarkStart w:id="57" w:name="_Toc195691935"/>
      <w:bookmarkStart w:id="58" w:name="_Toc195691553"/>
      <w:bookmarkStart w:id="59" w:name="_Toc195691030"/>
      <w:bookmarkStart w:id="60" w:name="_Toc194991934"/>
      <w:bookmarkStart w:id="61" w:name="_Toc194991727"/>
      <w:bookmarkStart w:id="62" w:name="_Toc194393229"/>
      <w:bookmarkStart w:id="63" w:name="_Toc191715069"/>
      <w:bookmarkStart w:id="64" w:name="_Toc189899849"/>
      <w:bookmarkStart w:id="65" w:name="_Toc189464916"/>
      <w:bookmarkStart w:id="66" w:name="_Toc189460873"/>
      <w:bookmarkStart w:id="67" w:name="_Toc188938567"/>
      <w:bookmarkStart w:id="68" w:name="_Toc188938145"/>
      <w:bookmarkStart w:id="69" w:name="_Toc188850807"/>
      <w:r>
        <w:t>3</w:t>
      </w:r>
      <w:r w:rsidR="00A52ED6">
        <w:t>5</w:t>
      </w:r>
      <w:r w:rsidR="00BB44D4">
        <w:t>. Turpmākajā piedāvājumu vērtēšanā, iepirkuma komisija ņem vērā tikai šo noteikumu sadaļā noteiktajā kārtībā labotās kļūdas.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B44D4" w:rsidRDefault="008D5144" w:rsidP="00BB44D4">
      <w:pPr>
        <w:tabs>
          <w:tab w:val="left" w:pos="0"/>
        </w:tabs>
        <w:spacing w:before="120" w:after="120"/>
        <w:jc w:val="both"/>
        <w:rPr>
          <w:kern w:val="16"/>
        </w:rPr>
      </w:pPr>
      <w:r>
        <w:t>3</w:t>
      </w:r>
      <w:r w:rsidR="00A52ED6">
        <w:t>6</w:t>
      </w:r>
      <w:r w:rsidR="00BB44D4">
        <w:t xml:space="preserve">. Iepirkuma komisija pārbauda, vai piedāvājums nav nepamatoti lēts, un rīkojas saskaņā ar Publisko iepirkumu likuma </w:t>
      </w:r>
      <w:proofErr w:type="gramStart"/>
      <w:r w:rsidR="00BB44D4">
        <w:t>48.panta</w:t>
      </w:r>
      <w:proofErr w:type="gramEnd"/>
      <w:r w:rsidR="00BB44D4">
        <w:t xml:space="preserve"> noteikumiem.</w:t>
      </w:r>
    </w:p>
    <w:p w:rsidR="00BB44D4" w:rsidRDefault="00A52ED6" w:rsidP="00BB44D4">
      <w:pPr>
        <w:tabs>
          <w:tab w:val="left" w:pos="0"/>
        </w:tabs>
        <w:spacing w:before="120" w:after="120"/>
        <w:jc w:val="both"/>
        <w:rPr>
          <w:kern w:val="16"/>
        </w:rPr>
      </w:pPr>
      <w:r>
        <w:t>37</w:t>
      </w:r>
      <w:r w:rsidR="00BB44D4">
        <w:t>. Ja iepirkuma komisija konstatē, ka konkrētais piedāvājums varētu būt nepamatoti lēts, tad pirms šī piedāvājuma noraidīšanas rakstveidā pieprasa pretendentam detalizētu paskaidrojumu par būtiskajiem piedāvājuma nosacījumiem.</w:t>
      </w:r>
    </w:p>
    <w:p w:rsidR="00BB44D4" w:rsidRDefault="00A52ED6" w:rsidP="00BB44D4">
      <w:pPr>
        <w:tabs>
          <w:tab w:val="left" w:pos="0"/>
        </w:tabs>
        <w:spacing w:before="120" w:after="120"/>
        <w:jc w:val="both"/>
        <w:rPr>
          <w:kern w:val="16"/>
        </w:rPr>
      </w:pPr>
      <w:bookmarkStart w:id="70" w:name="_Toc247075096"/>
      <w:bookmarkStart w:id="71" w:name="_Toc226887392"/>
      <w:bookmarkStart w:id="72" w:name="_Toc226779288"/>
      <w:bookmarkStart w:id="73" w:name="_Toc226778873"/>
      <w:bookmarkStart w:id="74" w:name="_Toc226776756"/>
      <w:bookmarkStart w:id="75" w:name="_Toc226510841"/>
      <w:bookmarkStart w:id="76" w:name="_Toc226510466"/>
      <w:bookmarkStart w:id="77" w:name="_Toc226171352"/>
      <w:bookmarkStart w:id="78" w:name="_Toc225055892"/>
      <w:bookmarkStart w:id="79" w:name="_Toc216845708"/>
      <w:bookmarkStart w:id="80" w:name="_Toc216756146"/>
      <w:bookmarkStart w:id="81" w:name="_Toc215115330"/>
      <w:bookmarkStart w:id="82" w:name="_Toc203191580"/>
      <w:bookmarkStart w:id="83" w:name="_Toc195691937"/>
      <w:bookmarkStart w:id="84" w:name="_Toc195691555"/>
      <w:bookmarkStart w:id="85" w:name="_Toc195691032"/>
      <w:bookmarkStart w:id="86" w:name="_Toc194991936"/>
      <w:bookmarkStart w:id="87" w:name="_Toc194991729"/>
      <w:bookmarkStart w:id="88" w:name="_Toc194393231"/>
      <w:bookmarkStart w:id="89" w:name="_Toc191715071"/>
      <w:bookmarkStart w:id="90" w:name="_Toc189899851"/>
      <w:bookmarkStart w:id="91" w:name="_Toc189464918"/>
      <w:bookmarkStart w:id="92" w:name="_Toc189460875"/>
      <w:bookmarkStart w:id="93" w:name="_Toc188938569"/>
      <w:bookmarkStart w:id="94" w:name="_Toc188938147"/>
      <w:bookmarkStart w:id="95" w:name="_Toc188850809"/>
      <w:r>
        <w:t>38</w:t>
      </w:r>
      <w:r w:rsidR="00BB44D4">
        <w:t>. Ja, izvērtējot pretendenta sniegto paskaidrojumu, iepirkuma komisija konstatē, ka pretendents nav pierādījis, ka tam ir pieejami tādi piedāvājuma nosacījumi, kas ļauj noteikt tik zemu cenu, iepirkuma komisija atzīst piedāvājumu par nepamatoti lētu un tālāk to neizskata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BB44D4">
        <w:t>.</w:t>
      </w:r>
    </w:p>
    <w:p w:rsidR="00BB44D4" w:rsidRDefault="00BB44D4" w:rsidP="00BB44D4">
      <w:pPr>
        <w:pStyle w:val="Virsraksts1"/>
        <w:rPr>
          <w:b/>
          <w:bCs/>
        </w:rPr>
      </w:pPr>
      <w:bookmarkStart w:id="96" w:name="_Toc268002897"/>
      <w:r>
        <w:rPr>
          <w:b/>
          <w:bCs/>
        </w:rPr>
        <w:t xml:space="preserve">VII </w:t>
      </w:r>
      <w:bookmarkEnd w:id="96"/>
      <w:r>
        <w:rPr>
          <w:b/>
          <w:bCs/>
        </w:rPr>
        <w:t>Paziņojums par pieņemto lēmumu</w:t>
      </w:r>
    </w:p>
    <w:bookmarkEnd w:id="10"/>
    <w:bookmarkEnd w:id="11"/>
    <w:p w:rsidR="006C5BE7" w:rsidRPr="008D5144" w:rsidRDefault="00A52ED6" w:rsidP="00BB44D4">
      <w:pPr>
        <w:pStyle w:val="Pamatteksts3"/>
        <w:spacing w:before="120" w:after="120"/>
        <w:rPr>
          <w:b w:val="0"/>
          <w:sz w:val="24"/>
          <w:lang w:val="lv-LV"/>
        </w:rPr>
      </w:pPr>
      <w:r>
        <w:rPr>
          <w:b w:val="0"/>
          <w:sz w:val="24"/>
          <w:lang w:val="lv-LV"/>
        </w:rPr>
        <w:t>39</w:t>
      </w:r>
      <w:r w:rsidR="00BB44D4">
        <w:rPr>
          <w:b w:val="0"/>
          <w:sz w:val="24"/>
          <w:lang w:val="lv-LV"/>
        </w:rPr>
        <w:t xml:space="preserve">. </w:t>
      </w:r>
      <w:r w:rsidR="00BB44D4">
        <w:rPr>
          <w:b w:val="0"/>
          <w:sz w:val="24"/>
        </w:rPr>
        <w:t xml:space="preserve">Paziņojums par pieņemto lēmumu tiks paziņots pretendentiem </w:t>
      </w:r>
      <w:r w:rsidR="00BB44D4">
        <w:rPr>
          <w:b w:val="0"/>
          <w:sz w:val="24"/>
          <w:lang w:val="lv-LV"/>
        </w:rPr>
        <w:t xml:space="preserve">Publisko iepirkumu likuma </w:t>
      </w:r>
      <w:r w:rsidR="008D5144">
        <w:rPr>
          <w:b w:val="0"/>
          <w:sz w:val="24"/>
        </w:rPr>
        <w:t>noteiktajā kārtībā</w:t>
      </w:r>
      <w:r w:rsidR="008D5144">
        <w:rPr>
          <w:b w:val="0"/>
          <w:sz w:val="24"/>
          <w:lang w:val="lv-LV"/>
        </w:rPr>
        <w:t>.</w:t>
      </w:r>
    </w:p>
    <w:p w:rsidR="00BB44D4" w:rsidRDefault="00BB44D4" w:rsidP="00BB44D4">
      <w:pPr>
        <w:pStyle w:val="Virsraksts1"/>
        <w:rPr>
          <w:b/>
          <w:bCs/>
        </w:rPr>
      </w:pPr>
      <w:r>
        <w:rPr>
          <w:b/>
          <w:bCs/>
        </w:rPr>
        <w:t>VIII Iepirkuma līguma noslēgšana</w:t>
      </w:r>
    </w:p>
    <w:p w:rsidR="00BB44D4" w:rsidRDefault="00BB44D4" w:rsidP="00BB44D4">
      <w:pPr>
        <w:jc w:val="both"/>
        <w:rPr>
          <w:shd w:val="clear" w:color="auto" w:fill="FFFFFF"/>
        </w:rPr>
      </w:pPr>
      <w:r>
        <w:rPr>
          <w:shd w:val="clear" w:color="auto" w:fill="FFFFFF"/>
        </w:rPr>
        <w:t>4</w:t>
      </w:r>
      <w:r w:rsidR="00A52ED6">
        <w:rPr>
          <w:shd w:val="clear" w:color="auto" w:fill="FFFFFF"/>
        </w:rPr>
        <w:t>0</w:t>
      </w:r>
      <w:r>
        <w:rPr>
          <w:shd w:val="clear" w:color="auto" w:fill="FFFFFF"/>
        </w:rPr>
        <w:t xml:space="preserve">. Pasūtītājs slēdz iepirkuma līgumu ar iepirkuma komisijas izraudzīto pretendentu. </w:t>
      </w:r>
    </w:p>
    <w:p w:rsidR="00BB44D4" w:rsidRDefault="00A31673" w:rsidP="00BB44D4">
      <w:pPr>
        <w:jc w:val="both"/>
      </w:pPr>
      <w:r>
        <w:rPr>
          <w:color w:val="222222"/>
          <w:shd w:val="clear" w:color="auto" w:fill="FFFFFF"/>
        </w:rPr>
        <w:t>4</w:t>
      </w:r>
      <w:r w:rsidR="00A52ED6">
        <w:rPr>
          <w:color w:val="222222"/>
          <w:shd w:val="clear" w:color="auto" w:fill="FFFFFF"/>
        </w:rPr>
        <w:t>1</w:t>
      </w:r>
      <w:r w:rsidR="00BB44D4">
        <w:rPr>
          <w:color w:val="222222"/>
          <w:shd w:val="clear" w:color="auto" w:fill="FFFFFF"/>
        </w:rPr>
        <w:t xml:space="preserve">. No pieņemtā lēmuma paziņošanas dienas, Pasūtītājs slēdz iepirkuma līgumu ar iepirkuma komisijas izraudzīto pretendentu. Pretendentam atsakoties slēgt iepirkuma līgumu, Pasūtītajam ir tiesības noraidīt (vai izslēgt) izvēlēto Pretendentu un slēgt līgumu ar </w:t>
      </w:r>
      <w:proofErr w:type="gramStart"/>
      <w:r w:rsidR="00BB44D4">
        <w:rPr>
          <w:color w:val="222222"/>
          <w:shd w:val="clear" w:color="auto" w:fill="FFFFFF"/>
        </w:rPr>
        <w:t>nākošo Pretendentu</w:t>
      </w:r>
      <w:proofErr w:type="gramEnd"/>
      <w:r w:rsidR="00BB44D4">
        <w:rPr>
          <w:color w:val="222222"/>
          <w:shd w:val="clear" w:color="auto" w:fill="FFFFFF"/>
        </w:rPr>
        <w:t>, kurš</w:t>
      </w:r>
      <w:r w:rsidR="00BB44D4">
        <w:rPr>
          <w:rStyle w:val="apple-converted-space"/>
          <w:color w:val="222222"/>
          <w:shd w:val="clear" w:color="auto" w:fill="FFFFFF"/>
        </w:rPr>
        <w:t> </w:t>
      </w:r>
      <w:r w:rsidR="00BB44D4">
        <w:rPr>
          <w:color w:val="222222"/>
          <w:shd w:val="clear" w:color="auto" w:fill="FFFFFF"/>
        </w:rPr>
        <w:t>no visiem iepriekšējo izvērtēšanas posmu prasībām atbilstošajiem piedāvājumiem ir ar viszemāko piedāvāto līgumcenu.</w:t>
      </w:r>
    </w:p>
    <w:p w:rsidR="00BB44D4" w:rsidRDefault="00A31673" w:rsidP="00BB44D4">
      <w:pPr>
        <w:jc w:val="both"/>
      </w:pPr>
      <w:r>
        <w:rPr>
          <w:shd w:val="clear" w:color="auto" w:fill="FFFFFF"/>
        </w:rPr>
        <w:t>4</w:t>
      </w:r>
      <w:r w:rsidR="00A52ED6">
        <w:rPr>
          <w:shd w:val="clear" w:color="auto" w:fill="FFFFFF"/>
        </w:rPr>
        <w:t>2</w:t>
      </w:r>
      <w:r w:rsidR="00BB44D4">
        <w:rPr>
          <w:shd w:val="clear" w:color="auto" w:fill="FFFFFF"/>
        </w:rPr>
        <w:t>. Pasūtītājs ir tiesīgs pārtraukt iepirkumu un neslēgt līgumu, ja tam ir objektīvs pamatojums.</w:t>
      </w:r>
    </w:p>
    <w:p w:rsidR="00BB44D4" w:rsidRDefault="00A31673" w:rsidP="00BB44D4">
      <w:pPr>
        <w:jc w:val="both"/>
      </w:pPr>
      <w:r>
        <w:rPr>
          <w:shd w:val="clear" w:color="auto" w:fill="FFFFFF"/>
        </w:rPr>
        <w:t>4</w:t>
      </w:r>
      <w:r w:rsidR="00A52ED6">
        <w:rPr>
          <w:shd w:val="clear" w:color="auto" w:fill="FFFFFF"/>
        </w:rPr>
        <w:t>3</w:t>
      </w:r>
      <w:r w:rsidR="00BB44D4">
        <w:rPr>
          <w:shd w:val="clear" w:color="auto" w:fill="FFFFFF"/>
        </w:rPr>
        <w:t>. Grozījumus iepirkuma līgumā izdara, ievērojot Publisko iepirkumu likuma 67.</w:t>
      </w:r>
      <w:r w:rsidR="00BB44D4">
        <w:rPr>
          <w:shd w:val="clear" w:color="auto" w:fill="FFFFFF"/>
          <w:vertAlign w:val="superscript"/>
        </w:rPr>
        <w:t>1</w:t>
      </w:r>
      <w:r w:rsidR="00BB44D4">
        <w:rPr>
          <w:rStyle w:val="apple-converted-space"/>
          <w:color w:val="414142"/>
          <w:shd w:val="clear" w:color="auto" w:fill="FFFFFF"/>
        </w:rPr>
        <w:t> </w:t>
      </w:r>
      <w:r w:rsidR="00BB44D4">
        <w:rPr>
          <w:shd w:val="clear" w:color="auto" w:fill="FFFFFF"/>
        </w:rPr>
        <w:t>panta noteikumus.</w:t>
      </w:r>
    </w:p>
    <w:p w:rsidR="00BB44D4" w:rsidRDefault="00BB44D4" w:rsidP="00BB44D4">
      <w:pPr>
        <w:pStyle w:val="Virsraksts1"/>
        <w:rPr>
          <w:b/>
          <w:bCs/>
        </w:rPr>
      </w:pPr>
      <w:r>
        <w:rPr>
          <w:b/>
          <w:bCs/>
        </w:rPr>
        <w:t>IX pielikumi</w:t>
      </w:r>
    </w:p>
    <w:p w:rsidR="00BB44D4" w:rsidRDefault="00BB44D4" w:rsidP="00BB44D4">
      <w:pPr>
        <w:pStyle w:val="Pamatteksts2"/>
        <w:tabs>
          <w:tab w:val="left" w:pos="319"/>
        </w:tabs>
        <w:spacing w:before="120" w:after="120"/>
        <w:jc w:val="both"/>
        <w:rPr>
          <w:sz w:val="24"/>
        </w:rPr>
      </w:pPr>
      <w:r>
        <w:rPr>
          <w:kern w:val="16"/>
          <w:sz w:val="24"/>
        </w:rPr>
        <w:t xml:space="preserve">1.pielikums </w:t>
      </w:r>
      <w:r>
        <w:rPr>
          <w:kern w:val="16"/>
          <w:sz w:val="24"/>
        </w:rPr>
        <w:tab/>
      </w:r>
      <w:r>
        <w:rPr>
          <w:kern w:val="16"/>
          <w:sz w:val="24"/>
        </w:rPr>
        <w:tab/>
        <w:t>Tehniskā specifikācija</w:t>
      </w:r>
      <w:r>
        <w:rPr>
          <w:sz w:val="24"/>
        </w:rPr>
        <w:t xml:space="preserve"> </w:t>
      </w:r>
    </w:p>
    <w:p w:rsidR="00BB44D4" w:rsidRDefault="00BB44D4" w:rsidP="00BB44D4">
      <w:pPr>
        <w:pStyle w:val="Pamatteksts2"/>
        <w:tabs>
          <w:tab w:val="left" w:pos="319"/>
        </w:tabs>
        <w:spacing w:before="120" w:after="120"/>
        <w:jc w:val="both"/>
        <w:rPr>
          <w:kern w:val="16"/>
          <w:sz w:val="24"/>
        </w:rPr>
      </w:pPr>
      <w:r>
        <w:rPr>
          <w:kern w:val="16"/>
          <w:sz w:val="24"/>
        </w:rPr>
        <w:t>2.pielikums</w:t>
      </w:r>
      <w:r>
        <w:rPr>
          <w:kern w:val="16"/>
          <w:sz w:val="24"/>
        </w:rPr>
        <w:tab/>
      </w:r>
      <w:r>
        <w:rPr>
          <w:kern w:val="16"/>
          <w:sz w:val="24"/>
        </w:rPr>
        <w:tab/>
        <w:t>Pieteikums par dalību iepirkumā (veidne)</w:t>
      </w:r>
    </w:p>
    <w:p w:rsidR="00BB44D4" w:rsidRPr="00FB0E96" w:rsidRDefault="00BB44D4" w:rsidP="00BB44D4">
      <w:pPr>
        <w:pStyle w:val="Pamatteksts2"/>
        <w:tabs>
          <w:tab w:val="left" w:pos="319"/>
        </w:tabs>
        <w:spacing w:before="120" w:after="120"/>
        <w:jc w:val="both"/>
        <w:rPr>
          <w:kern w:val="16"/>
          <w:sz w:val="24"/>
        </w:rPr>
      </w:pPr>
      <w:r>
        <w:rPr>
          <w:kern w:val="16"/>
          <w:sz w:val="24"/>
        </w:rPr>
        <w:t xml:space="preserve">3.pielikums </w:t>
      </w:r>
      <w:r>
        <w:rPr>
          <w:kern w:val="16"/>
          <w:sz w:val="24"/>
        </w:rPr>
        <w:tab/>
      </w:r>
      <w:r>
        <w:rPr>
          <w:kern w:val="16"/>
          <w:sz w:val="24"/>
        </w:rPr>
        <w:tab/>
      </w:r>
      <w:r w:rsidR="00A31673">
        <w:rPr>
          <w:kern w:val="16"/>
          <w:sz w:val="24"/>
        </w:rPr>
        <w:t>Pretendenta pieredze</w:t>
      </w:r>
      <w:r>
        <w:rPr>
          <w:kern w:val="16"/>
          <w:sz w:val="24"/>
        </w:rPr>
        <w:t xml:space="preserve"> (veidne) </w:t>
      </w:r>
    </w:p>
    <w:p w:rsidR="00BB44D4" w:rsidRDefault="00FB0E96" w:rsidP="00BB44D4">
      <w:pPr>
        <w:pStyle w:val="Pamatteksts2"/>
        <w:tabs>
          <w:tab w:val="left" w:pos="319"/>
        </w:tabs>
        <w:spacing w:before="120" w:after="120"/>
        <w:jc w:val="both"/>
        <w:rPr>
          <w:kern w:val="16"/>
          <w:sz w:val="24"/>
        </w:rPr>
      </w:pPr>
      <w:r>
        <w:rPr>
          <w:kern w:val="16"/>
          <w:sz w:val="24"/>
        </w:rPr>
        <w:t>4</w:t>
      </w:r>
      <w:r w:rsidR="00BB44D4">
        <w:rPr>
          <w:kern w:val="16"/>
          <w:sz w:val="24"/>
        </w:rPr>
        <w:t>.pielikums</w:t>
      </w:r>
      <w:r w:rsidR="00BB44D4">
        <w:rPr>
          <w:kern w:val="16"/>
          <w:sz w:val="24"/>
        </w:rPr>
        <w:tab/>
      </w:r>
      <w:r w:rsidR="00BB44D4">
        <w:rPr>
          <w:kern w:val="16"/>
          <w:sz w:val="24"/>
        </w:rPr>
        <w:tab/>
        <w:t xml:space="preserve">Pretendenta piesaistīto apakšuzņēmēju saraksts (veidne) </w:t>
      </w:r>
    </w:p>
    <w:p w:rsidR="00BB44D4" w:rsidRDefault="00FB0E96" w:rsidP="00B04873">
      <w:pPr>
        <w:pStyle w:val="Pamatteksts2"/>
        <w:tabs>
          <w:tab w:val="left" w:pos="319"/>
        </w:tabs>
        <w:spacing w:before="120" w:after="120"/>
        <w:jc w:val="both"/>
        <w:rPr>
          <w:kern w:val="16"/>
          <w:sz w:val="24"/>
        </w:rPr>
      </w:pPr>
      <w:r>
        <w:rPr>
          <w:kern w:val="16"/>
          <w:sz w:val="24"/>
        </w:rPr>
        <w:t>5</w:t>
      </w:r>
      <w:r w:rsidR="00A31673">
        <w:rPr>
          <w:kern w:val="16"/>
          <w:sz w:val="24"/>
        </w:rPr>
        <w:t>.pielikums</w:t>
      </w:r>
      <w:r w:rsidR="00A31673">
        <w:rPr>
          <w:kern w:val="16"/>
          <w:sz w:val="24"/>
        </w:rPr>
        <w:tab/>
      </w:r>
      <w:r w:rsidR="00A31673">
        <w:rPr>
          <w:kern w:val="16"/>
          <w:sz w:val="24"/>
        </w:rPr>
        <w:tab/>
        <w:t>T</w:t>
      </w:r>
      <w:r w:rsidR="00BB78C4">
        <w:rPr>
          <w:kern w:val="16"/>
          <w:sz w:val="24"/>
        </w:rPr>
        <w:t xml:space="preserve">ehniskais </w:t>
      </w:r>
      <w:r w:rsidR="00BB44D4">
        <w:rPr>
          <w:kern w:val="16"/>
          <w:sz w:val="24"/>
        </w:rPr>
        <w:t xml:space="preserve">piedāvājums (veidne) </w:t>
      </w:r>
    </w:p>
    <w:p w:rsidR="00BB44D4" w:rsidRPr="00A52ED6" w:rsidRDefault="00FB0E96" w:rsidP="00A52ED6">
      <w:pPr>
        <w:pStyle w:val="Pamatteksts2"/>
        <w:tabs>
          <w:tab w:val="left" w:pos="319"/>
        </w:tabs>
        <w:spacing w:before="120" w:after="120"/>
        <w:jc w:val="both"/>
        <w:rPr>
          <w:kern w:val="16"/>
          <w:sz w:val="24"/>
        </w:rPr>
      </w:pPr>
      <w:r>
        <w:rPr>
          <w:kern w:val="16"/>
          <w:sz w:val="24"/>
        </w:rPr>
        <w:t>6</w:t>
      </w:r>
      <w:r w:rsidR="00A31673">
        <w:rPr>
          <w:kern w:val="16"/>
          <w:sz w:val="24"/>
        </w:rPr>
        <w:t>.pielikums</w:t>
      </w:r>
      <w:r w:rsidR="00A31673">
        <w:rPr>
          <w:kern w:val="16"/>
          <w:sz w:val="24"/>
        </w:rPr>
        <w:tab/>
      </w:r>
      <w:r w:rsidR="00A31673">
        <w:rPr>
          <w:kern w:val="16"/>
          <w:sz w:val="24"/>
        </w:rPr>
        <w:tab/>
        <w:t xml:space="preserve">Finanšu piedāvājums (veidne) </w:t>
      </w:r>
    </w:p>
    <w:p w:rsidR="008E45C4" w:rsidRDefault="008E45C4" w:rsidP="00BB44D4">
      <w:pPr>
        <w:rPr>
          <w:kern w:val="16"/>
        </w:rPr>
      </w:pPr>
    </w:p>
    <w:p w:rsidR="00B77B0E" w:rsidRPr="00A52ED6" w:rsidRDefault="00BB44D4">
      <w:pPr>
        <w:rPr>
          <w:kern w:val="16"/>
        </w:rPr>
      </w:pPr>
      <w:r>
        <w:rPr>
          <w:kern w:val="16"/>
        </w:rPr>
        <w:t>Iepirkuma komisijas priekšsēdētājs</w:t>
      </w:r>
      <w:r>
        <w:rPr>
          <w:kern w:val="16"/>
        </w:rPr>
        <w:tab/>
      </w:r>
      <w:r>
        <w:rPr>
          <w:kern w:val="16"/>
        </w:rPr>
        <w:tab/>
      </w:r>
      <w:r>
        <w:rPr>
          <w:kern w:val="16"/>
        </w:rPr>
        <w:tab/>
      </w:r>
      <w:r>
        <w:rPr>
          <w:kern w:val="16"/>
        </w:rPr>
        <w:tab/>
      </w:r>
      <w:r>
        <w:rPr>
          <w:kern w:val="16"/>
        </w:rPr>
        <w:tab/>
      </w:r>
      <w:bookmarkEnd w:id="3"/>
      <w:bookmarkEnd w:id="4"/>
      <w:r w:rsidR="00A31673">
        <w:rPr>
          <w:kern w:val="16"/>
        </w:rPr>
        <w:t>Ģ.Vīgants</w:t>
      </w:r>
    </w:p>
    <w:sectPr w:rsidR="00B77B0E" w:rsidRPr="00A52E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9" w:rsidRDefault="006F7159" w:rsidP="00BB44D4">
      <w:r>
        <w:separator/>
      </w:r>
    </w:p>
  </w:endnote>
  <w:endnote w:type="continuationSeparator" w:id="0">
    <w:p w:rsidR="006F7159" w:rsidRDefault="006F7159" w:rsidP="00BB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9" w:rsidRDefault="006F7159" w:rsidP="00BB44D4">
      <w:r>
        <w:separator/>
      </w:r>
    </w:p>
  </w:footnote>
  <w:footnote w:type="continuationSeparator" w:id="0">
    <w:p w:rsidR="006F7159" w:rsidRDefault="006F7159" w:rsidP="00BB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A91"/>
    <w:multiLevelType w:val="multilevel"/>
    <w:tmpl w:val="594C10F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A52D37"/>
    <w:multiLevelType w:val="multilevel"/>
    <w:tmpl w:val="8B363878"/>
    <w:lvl w:ilvl="0">
      <w:start w:val="3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A4F49C6"/>
    <w:multiLevelType w:val="multilevel"/>
    <w:tmpl w:val="CB38AF76"/>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613AD8"/>
    <w:multiLevelType w:val="multilevel"/>
    <w:tmpl w:val="594C10F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B432817"/>
    <w:multiLevelType w:val="hybridMultilevel"/>
    <w:tmpl w:val="55A2A340"/>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 w:numId="2">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D4"/>
    <w:rsid w:val="00086F37"/>
    <w:rsid w:val="00094ED2"/>
    <w:rsid w:val="000C38E8"/>
    <w:rsid w:val="000F3AA1"/>
    <w:rsid w:val="000F4766"/>
    <w:rsid w:val="001666AF"/>
    <w:rsid w:val="001A2F1D"/>
    <w:rsid w:val="001D3FAD"/>
    <w:rsid w:val="001F5861"/>
    <w:rsid w:val="002322FB"/>
    <w:rsid w:val="00273DEA"/>
    <w:rsid w:val="002A531A"/>
    <w:rsid w:val="002B2E1B"/>
    <w:rsid w:val="00305EB9"/>
    <w:rsid w:val="003166F7"/>
    <w:rsid w:val="003345AB"/>
    <w:rsid w:val="00342E9E"/>
    <w:rsid w:val="00353D1C"/>
    <w:rsid w:val="00353DA2"/>
    <w:rsid w:val="00425552"/>
    <w:rsid w:val="00436705"/>
    <w:rsid w:val="00437847"/>
    <w:rsid w:val="00483471"/>
    <w:rsid w:val="004F3899"/>
    <w:rsid w:val="005273E9"/>
    <w:rsid w:val="005279A2"/>
    <w:rsid w:val="00567332"/>
    <w:rsid w:val="00584A5C"/>
    <w:rsid w:val="00587980"/>
    <w:rsid w:val="00596D39"/>
    <w:rsid w:val="005A04B9"/>
    <w:rsid w:val="005A2F65"/>
    <w:rsid w:val="005B1292"/>
    <w:rsid w:val="005B6DE9"/>
    <w:rsid w:val="005E3B5E"/>
    <w:rsid w:val="005E707A"/>
    <w:rsid w:val="00603513"/>
    <w:rsid w:val="00632E6D"/>
    <w:rsid w:val="00661032"/>
    <w:rsid w:val="006934FF"/>
    <w:rsid w:val="006B679E"/>
    <w:rsid w:val="006C5BE7"/>
    <w:rsid w:val="006F7159"/>
    <w:rsid w:val="00704B86"/>
    <w:rsid w:val="00740AFF"/>
    <w:rsid w:val="00744555"/>
    <w:rsid w:val="007617CC"/>
    <w:rsid w:val="0077009D"/>
    <w:rsid w:val="00773688"/>
    <w:rsid w:val="007831F3"/>
    <w:rsid w:val="007A3539"/>
    <w:rsid w:val="007D7BBE"/>
    <w:rsid w:val="00801FA3"/>
    <w:rsid w:val="00820D57"/>
    <w:rsid w:val="00821903"/>
    <w:rsid w:val="008302E4"/>
    <w:rsid w:val="00881F79"/>
    <w:rsid w:val="008D44B0"/>
    <w:rsid w:val="008D4AB5"/>
    <w:rsid w:val="008D5144"/>
    <w:rsid w:val="008E45C4"/>
    <w:rsid w:val="00932E92"/>
    <w:rsid w:val="00944E28"/>
    <w:rsid w:val="009662C3"/>
    <w:rsid w:val="009B3B85"/>
    <w:rsid w:val="009B7B80"/>
    <w:rsid w:val="009F44DE"/>
    <w:rsid w:val="00A0669D"/>
    <w:rsid w:val="00A31673"/>
    <w:rsid w:val="00A41684"/>
    <w:rsid w:val="00A41F47"/>
    <w:rsid w:val="00A52ED6"/>
    <w:rsid w:val="00A846EA"/>
    <w:rsid w:val="00AC04B6"/>
    <w:rsid w:val="00B04873"/>
    <w:rsid w:val="00B0646C"/>
    <w:rsid w:val="00B17259"/>
    <w:rsid w:val="00B27EC0"/>
    <w:rsid w:val="00B77B0E"/>
    <w:rsid w:val="00BA17B9"/>
    <w:rsid w:val="00BB44D4"/>
    <w:rsid w:val="00BB78C4"/>
    <w:rsid w:val="00BC3A18"/>
    <w:rsid w:val="00BE218F"/>
    <w:rsid w:val="00C35094"/>
    <w:rsid w:val="00CF39E5"/>
    <w:rsid w:val="00D033EE"/>
    <w:rsid w:val="00D33F97"/>
    <w:rsid w:val="00D42302"/>
    <w:rsid w:val="00D46FAC"/>
    <w:rsid w:val="00D60939"/>
    <w:rsid w:val="00D731AC"/>
    <w:rsid w:val="00D9796F"/>
    <w:rsid w:val="00DA298E"/>
    <w:rsid w:val="00E07D35"/>
    <w:rsid w:val="00E677F8"/>
    <w:rsid w:val="00EC73F3"/>
    <w:rsid w:val="00ED04D6"/>
    <w:rsid w:val="00ED36E3"/>
    <w:rsid w:val="00EE3DBB"/>
    <w:rsid w:val="00EF3B4E"/>
    <w:rsid w:val="00EF75B4"/>
    <w:rsid w:val="00F11937"/>
    <w:rsid w:val="00F20911"/>
    <w:rsid w:val="00F469ED"/>
    <w:rsid w:val="00F6012C"/>
    <w:rsid w:val="00F82DC1"/>
    <w:rsid w:val="00FA042C"/>
    <w:rsid w:val="00FB0E96"/>
    <w:rsid w:val="00FB50FA"/>
    <w:rsid w:val="00FD3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44D4"/>
    <w:pPr>
      <w:spacing w:after="0" w:line="240" w:lineRule="auto"/>
    </w:pPr>
    <w:rPr>
      <w:rFonts w:ascii="Times New Roman" w:eastAsia="Times New Roman" w:hAnsi="Times New Roman" w:cs="Times New Roman"/>
      <w:sz w:val="24"/>
      <w:szCs w:val="24"/>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BB44D4"/>
    <w:pPr>
      <w:keepNext/>
      <w:spacing w:before="240" w:after="240"/>
      <w:ind w:left="357"/>
      <w:jc w:val="center"/>
      <w:outlineLvl w:val="0"/>
    </w:pPr>
    <w:rPr>
      <w:rFonts w:cs="Arial"/>
      <w:kern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BB44D4"/>
    <w:rPr>
      <w:rFonts w:ascii="Times New Roman" w:eastAsia="Times New Roman" w:hAnsi="Times New Roman" w:cs="Arial"/>
      <w:kern w:val="32"/>
      <w:sz w:val="24"/>
      <w:szCs w:val="24"/>
    </w:rPr>
  </w:style>
  <w:style w:type="character" w:styleId="Hipersaite">
    <w:name w:val="Hyperlink"/>
    <w:uiPriority w:val="99"/>
    <w:semiHidden/>
    <w:unhideWhenUsed/>
    <w:rsid w:val="00BB44D4"/>
    <w:rPr>
      <w:color w:val="0000FF"/>
      <w:u w:val="single"/>
    </w:rPr>
  </w:style>
  <w:style w:type="paragraph" w:styleId="Vresteksts">
    <w:name w:val="footnote text"/>
    <w:basedOn w:val="Parasts"/>
    <w:link w:val="VrestekstsRakstz"/>
    <w:uiPriority w:val="99"/>
    <w:semiHidden/>
    <w:unhideWhenUsed/>
    <w:rsid w:val="00BB44D4"/>
    <w:rPr>
      <w:sz w:val="20"/>
      <w:szCs w:val="20"/>
    </w:rPr>
  </w:style>
  <w:style w:type="character" w:customStyle="1" w:styleId="VrestekstsRakstz">
    <w:name w:val="Vēres teksts Rakstz."/>
    <w:basedOn w:val="Noklusjumarindkopasfonts"/>
    <w:link w:val="Vresteksts"/>
    <w:uiPriority w:val="99"/>
    <w:semiHidden/>
    <w:rsid w:val="00BB44D4"/>
    <w:rPr>
      <w:rFonts w:ascii="Times New Roman" w:eastAsia="Times New Roman" w:hAnsi="Times New Roman" w:cs="Times New Roman"/>
      <w:sz w:val="20"/>
      <w:szCs w:val="20"/>
    </w:rPr>
  </w:style>
  <w:style w:type="paragraph" w:styleId="Kjene">
    <w:name w:val="footer"/>
    <w:basedOn w:val="Parasts"/>
    <w:link w:val="KjeneRakstz"/>
    <w:semiHidden/>
    <w:unhideWhenUsed/>
    <w:rsid w:val="00BB44D4"/>
    <w:pPr>
      <w:tabs>
        <w:tab w:val="center" w:pos="4153"/>
        <w:tab w:val="right" w:pos="8306"/>
      </w:tabs>
    </w:pPr>
    <w:rPr>
      <w:lang w:val="en-GB"/>
    </w:rPr>
  </w:style>
  <w:style w:type="character" w:customStyle="1" w:styleId="KjeneRakstz">
    <w:name w:val="Kājene Rakstz."/>
    <w:basedOn w:val="Noklusjumarindkopasfonts"/>
    <w:link w:val="Kjene"/>
    <w:semiHidden/>
    <w:rsid w:val="00BB44D4"/>
    <w:rPr>
      <w:rFonts w:ascii="Times New Roman" w:eastAsia="Times New Roman" w:hAnsi="Times New Roman" w:cs="Times New Roman"/>
      <w:sz w:val="24"/>
      <w:szCs w:val="24"/>
      <w:lang w:val="en-GB"/>
    </w:rPr>
  </w:style>
  <w:style w:type="paragraph" w:styleId="Pamatteksts2">
    <w:name w:val="Body Text 2"/>
    <w:basedOn w:val="Parasts"/>
    <w:link w:val="Pamatteksts2Rakstz"/>
    <w:unhideWhenUsed/>
    <w:rsid w:val="00BB44D4"/>
    <w:rPr>
      <w:sz w:val="28"/>
    </w:rPr>
  </w:style>
  <w:style w:type="character" w:customStyle="1" w:styleId="Pamatteksts2Rakstz">
    <w:name w:val="Pamatteksts 2 Rakstz."/>
    <w:basedOn w:val="Noklusjumarindkopasfonts"/>
    <w:link w:val="Pamatteksts2"/>
    <w:rsid w:val="00BB44D4"/>
    <w:rPr>
      <w:rFonts w:ascii="Times New Roman" w:eastAsia="Times New Roman" w:hAnsi="Times New Roman" w:cs="Times New Roman"/>
      <w:sz w:val="28"/>
      <w:szCs w:val="24"/>
    </w:rPr>
  </w:style>
  <w:style w:type="paragraph" w:styleId="Pamatteksts3">
    <w:name w:val="Body Text 3"/>
    <w:basedOn w:val="Parasts"/>
    <w:link w:val="Pamatteksts3Rakstz"/>
    <w:semiHidden/>
    <w:unhideWhenUsed/>
    <w:rsid w:val="00BB44D4"/>
    <w:pPr>
      <w:jc w:val="both"/>
    </w:pPr>
    <w:rPr>
      <w:b/>
      <w:bCs/>
      <w:sz w:val="28"/>
      <w:lang w:val="x-none"/>
    </w:rPr>
  </w:style>
  <w:style w:type="character" w:customStyle="1" w:styleId="Pamatteksts3Rakstz">
    <w:name w:val="Pamatteksts 3 Rakstz."/>
    <w:basedOn w:val="Noklusjumarindkopasfonts"/>
    <w:link w:val="Pamatteksts3"/>
    <w:semiHidden/>
    <w:rsid w:val="00BB44D4"/>
    <w:rPr>
      <w:rFonts w:ascii="Times New Roman" w:eastAsia="Times New Roman" w:hAnsi="Times New Roman" w:cs="Times New Roman"/>
      <w:b/>
      <w:bCs/>
      <w:sz w:val="28"/>
      <w:szCs w:val="24"/>
      <w:lang w:val="x-none"/>
    </w:rPr>
  </w:style>
  <w:style w:type="paragraph" w:customStyle="1" w:styleId="Sarakstarindkopa2">
    <w:name w:val="Saraksta rindkopa2"/>
    <w:basedOn w:val="Parasts"/>
    <w:uiPriority w:val="34"/>
    <w:qFormat/>
    <w:rsid w:val="00BB44D4"/>
    <w:pPr>
      <w:ind w:left="720"/>
    </w:pPr>
  </w:style>
  <w:style w:type="paragraph" w:customStyle="1" w:styleId="Sarakstarindkopa1">
    <w:name w:val="Saraksta rindkopa1"/>
    <w:basedOn w:val="Parasts"/>
    <w:qFormat/>
    <w:rsid w:val="00BB44D4"/>
    <w:pPr>
      <w:spacing w:after="200" w:line="276" w:lineRule="auto"/>
      <w:ind w:left="720"/>
      <w:contextualSpacing/>
      <w:jc w:val="both"/>
    </w:pPr>
    <w:rPr>
      <w:rFonts w:ascii="Calibri" w:eastAsia="Calibri" w:hAnsi="Calibri"/>
      <w:sz w:val="22"/>
      <w:szCs w:val="22"/>
    </w:rPr>
  </w:style>
  <w:style w:type="character" w:styleId="Vresatsauce">
    <w:name w:val="footnote reference"/>
    <w:semiHidden/>
    <w:unhideWhenUsed/>
    <w:rsid w:val="00BB44D4"/>
    <w:rPr>
      <w:vertAlign w:val="superscript"/>
    </w:rPr>
  </w:style>
  <w:style w:type="character" w:customStyle="1" w:styleId="apple-converted-space">
    <w:name w:val="apple-converted-space"/>
    <w:rsid w:val="00BB44D4"/>
  </w:style>
  <w:style w:type="character" w:styleId="Izteiksmgs">
    <w:name w:val="Strong"/>
    <w:basedOn w:val="Noklusjumarindkopasfonts"/>
    <w:qFormat/>
    <w:rsid w:val="00BB44D4"/>
    <w:rPr>
      <w:b/>
      <w:bCs/>
    </w:rPr>
  </w:style>
  <w:style w:type="paragraph" w:styleId="Sarakstarindkopa">
    <w:name w:val="List Paragraph"/>
    <w:basedOn w:val="Parasts"/>
    <w:uiPriority w:val="34"/>
    <w:qFormat/>
    <w:rsid w:val="00B04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44D4"/>
    <w:pPr>
      <w:spacing w:after="0" w:line="240" w:lineRule="auto"/>
    </w:pPr>
    <w:rPr>
      <w:rFonts w:ascii="Times New Roman" w:eastAsia="Times New Roman" w:hAnsi="Times New Roman" w:cs="Times New Roman"/>
      <w:sz w:val="24"/>
      <w:szCs w:val="24"/>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BB44D4"/>
    <w:pPr>
      <w:keepNext/>
      <w:spacing w:before="240" w:after="240"/>
      <w:ind w:left="357"/>
      <w:jc w:val="center"/>
      <w:outlineLvl w:val="0"/>
    </w:pPr>
    <w:rPr>
      <w:rFonts w:cs="Arial"/>
      <w:kern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BB44D4"/>
    <w:rPr>
      <w:rFonts w:ascii="Times New Roman" w:eastAsia="Times New Roman" w:hAnsi="Times New Roman" w:cs="Arial"/>
      <w:kern w:val="32"/>
      <w:sz w:val="24"/>
      <w:szCs w:val="24"/>
    </w:rPr>
  </w:style>
  <w:style w:type="character" w:styleId="Hipersaite">
    <w:name w:val="Hyperlink"/>
    <w:uiPriority w:val="99"/>
    <w:semiHidden/>
    <w:unhideWhenUsed/>
    <w:rsid w:val="00BB44D4"/>
    <w:rPr>
      <w:color w:val="0000FF"/>
      <w:u w:val="single"/>
    </w:rPr>
  </w:style>
  <w:style w:type="paragraph" w:styleId="Vresteksts">
    <w:name w:val="footnote text"/>
    <w:basedOn w:val="Parasts"/>
    <w:link w:val="VrestekstsRakstz"/>
    <w:uiPriority w:val="99"/>
    <w:semiHidden/>
    <w:unhideWhenUsed/>
    <w:rsid w:val="00BB44D4"/>
    <w:rPr>
      <w:sz w:val="20"/>
      <w:szCs w:val="20"/>
    </w:rPr>
  </w:style>
  <w:style w:type="character" w:customStyle="1" w:styleId="VrestekstsRakstz">
    <w:name w:val="Vēres teksts Rakstz."/>
    <w:basedOn w:val="Noklusjumarindkopasfonts"/>
    <w:link w:val="Vresteksts"/>
    <w:uiPriority w:val="99"/>
    <w:semiHidden/>
    <w:rsid w:val="00BB44D4"/>
    <w:rPr>
      <w:rFonts w:ascii="Times New Roman" w:eastAsia="Times New Roman" w:hAnsi="Times New Roman" w:cs="Times New Roman"/>
      <w:sz w:val="20"/>
      <w:szCs w:val="20"/>
    </w:rPr>
  </w:style>
  <w:style w:type="paragraph" w:styleId="Kjene">
    <w:name w:val="footer"/>
    <w:basedOn w:val="Parasts"/>
    <w:link w:val="KjeneRakstz"/>
    <w:semiHidden/>
    <w:unhideWhenUsed/>
    <w:rsid w:val="00BB44D4"/>
    <w:pPr>
      <w:tabs>
        <w:tab w:val="center" w:pos="4153"/>
        <w:tab w:val="right" w:pos="8306"/>
      </w:tabs>
    </w:pPr>
    <w:rPr>
      <w:lang w:val="en-GB"/>
    </w:rPr>
  </w:style>
  <w:style w:type="character" w:customStyle="1" w:styleId="KjeneRakstz">
    <w:name w:val="Kājene Rakstz."/>
    <w:basedOn w:val="Noklusjumarindkopasfonts"/>
    <w:link w:val="Kjene"/>
    <w:semiHidden/>
    <w:rsid w:val="00BB44D4"/>
    <w:rPr>
      <w:rFonts w:ascii="Times New Roman" w:eastAsia="Times New Roman" w:hAnsi="Times New Roman" w:cs="Times New Roman"/>
      <w:sz w:val="24"/>
      <w:szCs w:val="24"/>
      <w:lang w:val="en-GB"/>
    </w:rPr>
  </w:style>
  <w:style w:type="paragraph" w:styleId="Pamatteksts2">
    <w:name w:val="Body Text 2"/>
    <w:basedOn w:val="Parasts"/>
    <w:link w:val="Pamatteksts2Rakstz"/>
    <w:unhideWhenUsed/>
    <w:rsid w:val="00BB44D4"/>
    <w:rPr>
      <w:sz w:val="28"/>
    </w:rPr>
  </w:style>
  <w:style w:type="character" w:customStyle="1" w:styleId="Pamatteksts2Rakstz">
    <w:name w:val="Pamatteksts 2 Rakstz."/>
    <w:basedOn w:val="Noklusjumarindkopasfonts"/>
    <w:link w:val="Pamatteksts2"/>
    <w:rsid w:val="00BB44D4"/>
    <w:rPr>
      <w:rFonts w:ascii="Times New Roman" w:eastAsia="Times New Roman" w:hAnsi="Times New Roman" w:cs="Times New Roman"/>
      <w:sz w:val="28"/>
      <w:szCs w:val="24"/>
    </w:rPr>
  </w:style>
  <w:style w:type="paragraph" w:styleId="Pamatteksts3">
    <w:name w:val="Body Text 3"/>
    <w:basedOn w:val="Parasts"/>
    <w:link w:val="Pamatteksts3Rakstz"/>
    <w:semiHidden/>
    <w:unhideWhenUsed/>
    <w:rsid w:val="00BB44D4"/>
    <w:pPr>
      <w:jc w:val="both"/>
    </w:pPr>
    <w:rPr>
      <w:b/>
      <w:bCs/>
      <w:sz w:val="28"/>
      <w:lang w:val="x-none"/>
    </w:rPr>
  </w:style>
  <w:style w:type="character" w:customStyle="1" w:styleId="Pamatteksts3Rakstz">
    <w:name w:val="Pamatteksts 3 Rakstz."/>
    <w:basedOn w:val="Noklusjumarindkopasfonts"/>
    <w:link w:val="Pamatteksts3"/>
    <w:semiHidden/>
    <w:rsid w:val="00BB44D4"/>
    <w:rPr>
      <w:rFonts w:ascii="Times New Roman" w:eastAsia="Times New Roman" w:hAnsi="Times New Roman" w:cs="Times New Roman"/>
      <w:b/>
      <w:bCs/>
      <w:sz w:val="28"/>
      <w:szCs w:val="24"/>
      <w:lang w:val="x-none"/>
    </w:rPr>
  </w:style>
  <w:style w:type="paragraph" w:customStyle="1" w:styleId="Sarakstarindkopa2">
    <w:name w:val="Saraksta rindkopa2"/>
    <w:basedOn w:val="Parasts"/>
    <w:uiPriority w:val="34"/>
    <w:qFormat/>
    <w:rsid w:val="00BB44D4"/>
    <w:pPr>
      <w:ind w:left="720"/>
    </w:pPr>
  </w:style>
  <w:style w:type="paragraph" w:customStyle="1" w:styleId="Sarakstarindkopa1">
    <w:name w:val="Saraksta rindkopa1"/>
    <w:basedOn w:val="Parasts"/>
    <w:qFormat/>
    <w:rsid w:val="00BB44D4"/>
    <w:pPr>
      <w:spacing w:after="200" w:line="276" w:lineRule="auto"/>
      <w:ind w:left="720"/>
      <w:contextualSpacing/>
      <w:jc w:val="both"/>
    </w:pPr>
    <w:rPr>
      <w:rFonts w:ascii="Calibri" w:eastAsia="Calibri" w:hAnsi="Calibri"/>
      <w:sz w:val="22"/>
      <w:szCs w:val="22"/>
    </w:rPr>
  </w:style>
  <w:style w:type="character" w:styleId="Vresatsauce">
    <w:name w:val="footnote reference"/>
    <w:semiHidden/>
    <w:unhideWhenUsed/>
    <w:rsid w:val="00BB44D4"/>
    <w:rPr>
      <w:vertAlign w:val="superscript"/>
    </w:rPr>
  </w:style>
  <w:style w:type="character" w:customStyle="1" w:styleId="apple-converted-space">
    <w:name w:val="apple-converted-space"/>
    <w:rsid w:val="00BB44D4"/>
  </w:style>
  <w:style w:type="character" w:styleId="Izteiksmgs">
    <w:name w:val="Strong"/>
    <w:basedOn w:val="Noklusjumarindkopasfonts"/>
    <w:qFormat/>
    <w:rsid w:val="00BB44D4"/>
    <w:rPr>
      <w:b/>
      <w:bCs/>
    </w:rPr>
  </w:style>
  <w:style w:type="paragraph" w:styleId="Sarakstarindkopa">
    <w:name w:val="List Paragraph"/>
    <w:basedOn w:val="Parasts"/>
    <w:uiPriority w:val="34"/>
    <w:qFormat/>
    <w:rsid w:val="00B0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vdabasmuzej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vdabasmuzej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7714</Words>
  <Characters>4397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9</cp:revision>
  <dcterms:created xsi:type="dcterms:W3CDTF">2016-10-27T11:39:00Z</dcterms:created>
  <dcterms:modified xsi:type="dcterms:W3CDTF">2016-10-31T13:01:00Z</dcterms:modified>
</cp:coreProperties>
</file>